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A5" w:rsidRPr="00267651" w:rsidRDefault="008E2EA5" w:rsidP="00886E27">
      <w:pPr>
        <w:pStyle w:val="Heading1"/>
        <w:spacing w:after="240"/>
        <w:jc w:val="center"/>
      </w:pPr>
      <w:r w:rsidRPr="00267651">
        <w:t>RECENT DEVELOPMENTS IN RECOURSE TO BANK GUARANTEES</w:t>
      </w:r>
    </w:p>
    <w:p w:rsidR="00B13BB0" w:rsidRDefault="00B13BB0" w:rsidP="00886E27">
      <w:pPr>
        <w:spacing w:after="240"/>
        <w:jc w:val="center"/>
      </w:pPr>
      <w:r>
        <w:t>Michael Whitten QC</w:t>
      </w:r>
    </w:p>
    <w:p w:rsidR="00B13BB0" w:rsidRDefault="00B13BB0" w:rsidP="00886E27">
      <w:pPr>
        <w:spacing w:after="240"/>
        <w:jc w:val="center"/>
      </w:pPr>
      <w:r>
        <w:t>MTECC Seminar</w:t>
      </w:r>
    </w:p>
    <w:p w:rsidR="00B13BB0" w:rsidRDefault="00B13BB0" w:rsidP="00886E27">
      <w:pPr>
        <w:spacing w:after="240"/>
        <w:jc w:val="center"/>
      </w:pPr>
      <w:r>
        <w:t>RACV Club, 28 March 2018</w:t>
      </w:r>
    </w:p>
    <w:p w:rsidR="00195A1D" w:rsidRDefault="00195A1D" w:rsidP="00886E27">
      <w:pPr>
        <w:pStyle w:val="Heading1"/>
        <w:spacing w:after="240"/>
      </w:pPr>
      <w:r>
        <w:t>Introduction</w:t>
      </w:r>
    </w:p>
    <w:p w:rsidR="00181594" w:rsidRDefault="001D3B6D" w:rsidP="00886E27">
      <w:pPr>
        <w:spacing w:after="240"/>
      </w:pPr>
      <w:r>
        <w:t>In previous paper</w:t>
      </w:r>
      <w:r w:rsidR="005E7F56">
        <w:t>s,</w:t>
      </w:r>
      <w:r w:rsidR="005E7F56">
        <w:rPr>
          <w:rStyle w:val="FootnoteReference"/>
        </w:rPr>
        <w:footnoteReference w:id="1"/>
      </w:r>
      <w:r w:rsidR="005E7F56">
        <w:t xml:space="preserve"> </w:t>
      </w:r>
      <w:r w:rsidR="004422BA">
        <w:t xml:space="preserve">principles </w:t>
      </w:r>
      <w:r w:rsidR="00290874">
        <w:t xml:space="preserve">were essayed </w:t>
      </w:r>
      <w:r w:rsidR="004422BA">
        <w:t xml:space="preserve">relevant to performance securities, </w:t>
      </w:r>
      <w:r w:rsidR="00181594">
        <w:t>particularly bank guarantees provided</w:t>
      </w:r>
      <w:r w:rsidR="009B2218">
        <w:t xml:space="preserve"> for</w:t>
      </w:r>
      <w:r w:rsidR="00181594">
        <w:t xml:space="preserve"> by building contracts, recourse to them and injunctions to restrain recourse.</w:t>
      </w:r>
    </w:p>
    <w:p w:rsidR="00671089" w:rsidRDefault="00A64DEA" w:rsidP="00886E27">
      <w:pPr>
        <w:spacing w:after="240"/>
      </w:pPr>
      <w:r>
        <w:t xml:space="preserve">One of the abiding themes throughout the early cases </w:t>
      </w:r>
      <w:r w:rsidR="00C47CA3">
        <w:t>reflected:</w:t>
      </w:r>
      <w:r>
        <w:t xml:space="preserve"> </w:t>
      </w:r>
    </w:p>
    <w:p w:rsidR="001D3B6D" w:rsidRDefault="007E55F9" w:rsidP="007E55F9">
      <w:pPr>
        <w:pStyle w:val="Quote"/>
      </w:pPr>
      <w:r>
        <w:t>'</w:t>
      </w:r>
      <w:r w:rsidR="00671089">
        <w:t xml:space="preserve">very long-standing </w:t>
      </w:r>
      <w:r w:rsidR="00671089" w:rsidRPr="00671089">
        <w:t xml:space="preserve">principles permitting </w:t>
      </w:r>
      <w:r w:rsidR="00671089">
        <w:t xml:space="preserve">only </w:t>
      </w:r>
      <w:r w:rsidR="00671089" w:rsidRPr="00671089">
        <w:t>very limited circumstances in which a beneficiary will be precluded from having recourse to what has always been regarded as 'as good as cash'.</w:t>
      </w:r>
    </w:p>
    <w:p w:rsidR="00981F75" w:rsidRDefault="00B61043" w:rsidP="00886E27">
      <w:pPr>
        <w:spacing w:after="240"/>
      </w:pPr>
      <w:r>
        <w:t xml:space="preserve">More recently, </w:t>
      </w:r>
      <w:r w:rsidR="001D3B6D">
        <w:t xml:space="preserve">a number of </w:t>
      </w:r>
      <w:r>
        <w:t xml:space="preserve">appellate </w:t>
      </w:r>
      <w:r w:rsidR="001D3B6D">
        <w:t xml:space="preserve">decisions </w:t>
      </w:r>
      <w:r w:rsidR="00981F75">
        <w:t>have tended to cast doubt on</w:t>
      </w:r>
      <w:r w:rsidR="001D3B6D">
        <w:t xml:space="preserve"> the </w:t>
      </w:r>
      <w:r w:rsidR="003B4290">
        <w:t xml:space="preserve">hitherto fundamental </w:t>
      </w:r>
      <w:r w:rsidR="001D3B6D">
        <w:t xml:space="preserve">notion of a </w:t>
      </w:r>
      <w:r w:rsidR="00981F75">
        <w:t xml:space="preserve">bank </w:t>
      </w:r>
      <w:r w:rsidR="001D3B6D">
        <w:t>guarantee being 'as good as cash'.</w:t>
      </w:r>
      <w:r w:rsidR="00671089">
        <w:t xml:space="preserve"> </w:t>
      </w:r>
    </w:p>
    <w:p w:rsidR="000B3193" w:rsidRDefault="000B3193" w:rsidP="000B3193">
      <w:pPr>
        <w:spacing w:after="240"/>
      </w:pPr>
      <w:r>
        <w:t>Further, developments over the last decade or so have seen, among other things, a marked divergence in curial approach to the weight to be afforded to pleas of reputational harm as a (seemingly powerful) basis for the grant of interlocutory relief.</w:t>
      </w:r>
    </w:p>
    <w:p w:rsidR="00FA02B3" w:rsidRDefault="00CA684F" w:rsidP="00886E27">
      <w:pPr>
        <w:spacing w:after="240"/>
      </w:pPr>
      <w:r>
        <w:t>In t</w:t>
      </w:r>
      <w:r w:rsidR="00981F75">
        <w:t>his paper</w:t>
      </w:r>
      <w:r>
        <w:t xml:space="preserve">, we will consider a number of those cases to see whether, and if so, </w:t>
      </w:r>
      <w:r w:rsidR="0072391A">
        <w:t>to</w:t>
      </w:r>
      <w:r>
        <w:t xml:space="preserve"> what extent, the </w:t>
      </w:r>
      <w:r w:rsidR="008219B0">
        <w:rPr>
          <w:i/>
        </w:rPr>
        <w:t>long-standing</w:t>
      </w:r>
      <w:r>
        <w:rPr>
          <w:i/>
        </w:rPr>
        <w:t xml:space="preserve"> principles</w:t>
      </w:r>
      <w:r>
        <w:t xml:space="preserve"> </w:t>
      </w:r>
      <w:r w:rsidR="00FA02B3">
        <w:t>on the subject have been reinforced, reshaped or replaced.</w:t>
      </w:r>
      <w:bookmarkStart w:id="0" w:name="_GoBack"/>
      <w:bookmarkEnd w:id="0"/>
    </w:p>
    <w:p w:rsidR="0072391A" w:rsidRDefault="00FA02B3" w:rsidP="00886E27">
      <w:pPr>
        <w:spacing w:after="240"/>
      </w:pPr>
      <w:r>
        <w:lastRenderedPageBreak/>
        <w:t xml:space="preserve">The principal context in which this jurisprudence has developed remains interlocutory applications for injunctions to restrain a beneficiary from calling on </w:t>
      </w:r>
      <w:r w:rsidR="0072391A">
        <w:t>a guarantee.</w:t>
      </w:r>
    </w:p>
    <w:p w:rsidR="00671089" w:rsidRPr="000229A5" w:rsidRDefault="0072391A" w:rsidP="00886E27">
      <w:pPr>
        <w:pStyle w:val="Heading1"/>
        <w:spacing w:after="240"/>
      </w:pPr>
      <w:bookmarkStart w:id="1" w:name="_Toc321576735"/>
      <w:r>
        <w:t>I</w:t>
      </w:r>
      <w:r w:rsidR="00671089" w:rsidRPr="000229A5">
        <w:t>nterlocutory injunctions</w:t>
      </w:r>
      <w:r>
        <w:t xml:space="preserve"> – general principles: a recap</w:t>
      </w:r>
      <w:r w:rsidR="00671089" w:rsidRPr="000229A5">
        <w:t xml:space="preserve"> </w:t>
      </w:r>
      <w:bookmarkEnd w:id="1"/>
    </w:p>
    <w:p w:rsidR="00671089" w:rsidRPr="000229A5" w:rsidRDefault="00671089" w:rsidP="00886E27">
      <w:pPr>
        <w:spacing w:after="240"/>
      </w:pPr>
      <w:r>
        <w:t>For</w:t>
      </w:r>
      <w:r w:rsidRPr="000229A5">
        <w:t xml:space="preserve"> any interlocutory injunction, a successful applicant must demonstrate:</w:t>
      </w:r>
      <w:r w:rsidRPr="00E97012">
        <w:rPr>
          <w:rStyle w:val="FootnoteReference"/>
        </w:rPr>
        <w:t xml:space="preserve"> </w:t>
      </w:r>
      <w:r>
        <w:rPr>
          <w:rStyle w:val="FootnoteReference"/>
        </w:rPr>
        <w:footnoteReference w:id="2"/>
      </w:r>
    </w:p>
    <w:p w:rsidR="00671089" w:rsidRPr="00E97012" w:rsidRDefault="00671089" w:rsidP="00886E27">
      <w:pPr>
        <w:pStyle w:val="ListParagraph"/>
        <w:numPr>
          <w:ilvl w:val="0"/>
          <w:numId w:val="5"/>
        </w:numPr>
        <w:spacing w:before="100" w:beforeAutospacing="1" w:after="240"/>
        <w:contextualSpacing w:val="0"/>
      </w:pPr>
      <w:r w:rsidRPr="00E97012">
        <w:t>a serious question to be tried</w:t>
      </w:r>
      <w:r w:rsidR="00B000DF">
        <w:t>;</w:t>
      </w:r>
      <w:r w:rsidRPr="00E97012">
        <w:t xml:space="preserve"> or that the plaintiff has made out a prima facie case in the sense that if the evidence remains as it is</w:t>
      </w:r>
      <w:r w:rsidR="00B000DF">
        <w:t>,</w:t>
      </w:r>
      <w:r w:rsidRPr="00E97012">
        <w:t xml:space="preserve"> there is a probability at the trial the plaintiff will succeed;</w:t>
      </w:r>
    </w:p>
    <w:p w:rsidR="00671089" w:rsidRPr="00E97012" w:rsidRDefault="00671089" w:rsidP="00886E27">
      <w:pPr>
        <w:pStyle w:val="ListParagraph"/>
        <w:numPr>
          <w:ilvl w:val="0"/>
          <w:numId w:val="5"/>
        </w:numPr>
        <w:spacing w:before="100" w:beforeAutospacing="1" w:after="240"/>
        <w:contextualSpacing w:val="0"/>
      </w:pPr>
      <w:r w:rsidRPr="00E97012">
        <w:t xml:space="preserve">that the plaintiff will suffer irreparable </w:t>
      </w:r>
      <w:r w:rsidR="00F50E13">
        <w:t>harm</w:t>
      </w:r>
      <w:r w:rsidRPr="00E97012">
        <w:t xml:space="preserve"> for which damages will not be an adequate </w:t>
      </w:r>
      <w:r w:rsidR="00B000DF">
        <w:t>remedy</w:t>
      </w:r>
      <w:r w:rsidRPr="00E97012">
        <w:t xml:space="preserve"> unless an injunction is granted; and</w:t>
      </w:r>
    </w:p>
    <w:p w:rsidR="00671089" w:rsidRPr="00D50646" w:rsidRDefault="00671089" w:rsidP="00886E27">
      <w:pPr>
        <w:pStyle w:val="ListParagraph"/>
        <w:numPr>
          <w:ilvl w:val="0"/>
          <w:numId w:val="5"/>
        </w:numPr>
        <w:spacing w:before="100" w:beforeAutospacing="1" w:after="240"/>
        <w:contextualSpacing w:val="0"/>
        <w:rPr>
          <w:lang w:val="en-AU"/>
        </w:rPr>
      </w:pPr>
      <w:r w:rsidRPr="00E97012">
        <w:t>the balance</w:t>
      </w:r>
      <w:r w:rsidRPr="00D50646">
        <w:rPr>
          <w:lang w:val="en-AU"/>
        </w:rPr>
        <w:t xml:space="preserve"> of convenience favour</w:t>
      </w:r>
      <w:r w:rsidR="00F50E13">
        <w:rPr>
          <w:lang w:val="en-AU"/>
        </w:rPr>
        <w:t>s the grant</w:t>
      </w:r>
      <w:r w:rsidRPr="00D50646">
        <w:rPr>
          <w:lang w:val="en-AU"/>
        </w:rPr>
        <w:t>.</w:t>
      </w:r>
    </w:p>
    <w:p w:rsidR="00671089" w:rsidRPr="00231E12" w:rsidRDefault="00B000DF" w:rsidP="00886E27">
      <w:pPr>
        <w:spacing w:after="240"/>
        <w:rPr>
          <w:lang w:val="en-AU"/>
        </w:rPr>
      </w:pPr>
      <w:r>
        <w:t>To those</w:t>
      </w:r>
      <w:r w:rsidR="00671089">
        <w:t xml:space="preserve"> may be added the </w:t>
      </w:r>
      <w:r w:rsidR="00231E12">
        <w:t xml:space="preserve">Victorian Court of Appeal’s </w:t>
      </w:r>
      <w:r w:rsidR="00671089">
        <w:t xml:space="preserve">‘single test’ </w:t>
      </w:r>
      <w:r w:rsidR="00DA5D60">
        <w:t xml:space="preserve">in </w:t>
      </w:r>
      <w:proofErr w:type="spellStart"/>
      <w:r w:rsidR="00DA5D60" w:rsidRPr="00901D3A">
        <w:rPr>
          <w:b/>
          <w:i/>
          <w:lang w:val="en-AU"/>
        </w:rPr>
        <w:t>Bradto</w:t>
      </w:r>
      <w:proofErr w:type="spellEnd"/>
      <w:r w:rsidR="00DA5D60" w:rsidRPr="00901D3A">
        <w:rPr>
          <w:b/>
          <w:i/>
          <w:lang w:val="en-AU"/>
        </w:rPr>
        <w:t xml:space="preserve"> Pty Ltd v State of Victoria</w:t>
      </w:r>
      <w:r w:rsidR="00DA5D60" w:rsidRPr="00231E12">
        <w:rPr>
          <w:rStyle w:val="FootnoteReference"/>
          <w:lang w:val="en-AU"/>
        </w:rPr>
        <w:footnoteReference w:id="3"/>
      </w:r>
      <w:r w:rsidR="00DA5D60">
        <w:rPr>
          <w:i/>
          <w:lang w:val="en-AU"/>
        </w:rPr>
        <w:t xml:space="preserve"> </w:t>
      </w:r>
      <w:r w:rsidR="00671089">
        <w:t>reflecting ‘fundamental principle’</w:t>
      </w:r>
      <w:r w:rsidR="00671089">
        <w:rPr>
          <w:lang w:val="en-AU"/>
        </w:rPr>
        <w:t>: that</w:t>
      </w:r>
      <w:r w:rsidR="00671089" w:rsidRPr="001E162E">
        <w:rPr>
          <w:lang w:val="en-AU"/>
        </w:rPr>
        <w:t xml:space="preserve"> the court should take whichever course appears to carry the </w:t>
      </w:r>
      <w:r w:rsidR="00671089" w:rsidRPr="00874C3A">
        <w:rPr>
          <w:i/>
          <w:lang w:val="en-AU"/>
        </w:rPr>
        <w:t>lower risk of injustice</w:t>
      </w:r>
      <w:r w:rsidR="00671089" w:rsidRPr="001E162E">
        <w:rPr>
          <w:lang w:val="en-AU"/>
        </w:rPr>
        <w:t xml:space="preserve"> if it should turn out to have been ‘wrong’</w:t>
      </w:r>
      <w:r w:rsidR="00671089">
        <w:rPr>
          <w:lang w:val="en-AU"/>
        </w:rPr>
        <w:t>.</w:t>
      </w:r>
    </w:p>
    <w:p w:rsidR="00D67CB9" w:rsidRDefault="00D67CB9" w:rsidP="00D67CB9">
      <w:pPr>
        <w:pStyle w:val="Heading1"/>
      </w:pPr>
      <w:r>
        <w:t>Injunctions to restrain recourse to securities: a recap</w:t>
      </w:r>
    </w:p>
    <w:p w:rsidR="007F1509" w:rsidRDefault="003C4C54" w:rsidP="007F1509">
      <w:pPr>
        <w:spacing w:after="240"/>
        <w:rPr>
          <w:lang w:val="en-AU"/>
        </w:rPr>
      </w:pPr>
      <w:r>
        <w:t>A</w:t>
      </w:r>
      <w:r w:rsidR="00E1286E" w:rsidRPr="00E1286E">
        <w:t xml:space="preserve">n unconditional bank guarantee provided to secure performance of a contract operates </w:t>
      </w:r>
      <w:r w:rsidR="00E1286E" w:rsidRPr="0047558C">
        <w:t>autonomously</w:t>
      </w:r>
      <w:r w:rsidR="00E1286E" w:rsidRPr="00E1286E">
        <w:t xml:space="preserve"> </w:t>
      </w:r>
      <w:r>
        <w:t xml:space="preserve">from any dispute </w:t>
      </w:r>
      <w:r w:rsidR="008A17C4">
        <w:t>concerning</w:t>
      </w:r>
      <w:r>
        <w:t xml:space="preserve"> the underlying contract. </w:t>
      </w:r>
      <w:r w:rsidR="008A17C4">
        <w:rPr>
          <w:lang w:val="en-AU"/>
        </w:rPr>
        <w:t>As such,</w:t>
      </w:r>
      <w:r w:rsidR="008A17C4" w:rsidRPr="008A17C4">
        <w:rPr>
          <w:lang w:val="en-AU"/>
        </w:rPr>
        <w:t xml:space="preserve"> a beneficiary is entitled to demand payment on the security (“calling it up” or “cashing” it), and the bank is obliged to meet that demand, regardless of whether or not the account party is in breach of the underlying contract.</w:t>
      </w:r>
      <w:r w:rsidR="008A17C4">
        <w:rPr>
          <w:rStyle w:val="FootnoteReference"/>
          <w:lang w:val="en-AU"/>
        </w:rPr>
        <w:footnoteReference w:id="4"/>
      </w:r>
      <w:r w:rsidR="008A17C4" w:rsidRPr="008A17C4">
        <w:rPr>
          <w:lang w:val="en-AU"/>
        </w:rPr>
        <w:t xml:space="preserve"> </w:t>
      </w:r>
    </w:p>
    <w:p w:rsidR="007F1509" w:rsidRDefault="004D27BF" w:rsidP="007F1509">
      <w:pPr>
        <w:spacing w:after="240"/>
        <w:rPr>
          <w:bCs/>
        </w:rPr>
      </w:pPr>
      <w:r>
        <w:rPr>
          <w:lang w:val="en-AU"/>
        </w:rPr>
        <w:lastRenderedPageBreak/>
        <w:t xml:space="preserve">The </w:t>
      </w:r>
      <w:r w:rsidR="0047558C">
        <w:rPr>
          <w:lang w:val="en-AU"/>
        </w:rPr>
        <w:t xml:space="preserve">‘autonomy </w:t>
      </w:r>
      <w:proofErr w:type="spellStart"/>
      <w:r w:rsidR="0047558C">
        <w:rPr>
          <w:lang w:val="en-AU"/>
        </w:rPr>
        <w:t>priniciple</w:t>
      </w:r>
      <w:proofErr w:type="spellEnd"/>
      <w:r w:rsidR="0047558C">
        <w:rPr>
          <w:lang w:val="en-AU"/>
        </w:rPr>
        <w:t xml:space="preserve">’ </w:t>
      </w:r>
      <w:r w:rsidR="005A7F8E">
        <w:rPr>
          <w:lang w:val="en-AU"/>
        </w:rPr>
        <w:t>was</w:t>
      </w:r>
      <w:r w:rsidR="0047558C">
        <w:rPr>
          <w:lang w:val="en-AU"/>
        </w:rPr>
        <w:t xml:space="preserve"> recently affirmed by the High Court in </w:t>
      </w:r>
      <w:proofErr w:type="spellStart"/>
      <w:r w:rsidR="0047558C" w:rsidRPr="00901D3A">
        <w:rPr>
          <w:b/>
          <w:bCs/>
          <w:i/>
          <w:lang w:val="en-AU"/>
        </w:rPr>
        <w:t>Simic</w:t>
      </w:r>
      <w:proofErr w:type="spellEnd"/>
      <w:r w:rsidR="0047558C" w:rsidRPr="00901D3A">
        <w:rPr>
          <w:b/>
          <w:bCs/>
          <w:i/>
          <w:lang w:val="en-AU"/>
        </w:rPr>
        <w:t xml:space="preserve"> v New South Wales Land and Housing Corporation</w:t>
      </w:r>
      <w:r w:rsidR="0047558C">
        <w:rPr>
          <w:rStyle w:val="FootnoteReference"/>
          <w:bCs/>
          <w:lang w:val="en-AU"/>
        </w:rPr>
        <w:footnoteReference w:id="5"/>
      </w:r>
      <w:r w:rsidR="007F1509">
        <w:rPr>
          <w:bCs/>
          <w:i/>
          <w:lang w:val="en-AU"/>
        </w:rPr>
        <w:t xml:space="preserve"> </w:t>
      </w:r>
      <w:r w:rsidR="007F1509">
        <w:rPr>
          <w:bCs/>
          <w:lang w:val="en-AU"/>
        </w:rPr>
        <w:t xml:space="preserve"> where </w:t>
      </w:r>
      <w:proofErr w:type="spellStart"/>
      <w:r w:rsidR="007F1509" w:rsidRPr="007F1509">
        <w:rPr>
          <w:bCs/>
        </w:rPr>
        <w:t>Gageler</w:t>
      </w:r>
      <w:proofErr w:type="spellEnd"/>
      <w:r w:rsidR="007F1509" w:rsidRPr="007F1509">
        <w:rPr>
          <w:bCs/>
        </w:rPr>
        <w:t>, Nettle and Gordon JJ</w:t>
      </w:r>
      <w:r w:rsidR="007F1509">
        <w:rPr>
          <w:bCs/>
        </w:rPr>
        <w:t xml:space="preserve"> </w:t>
      </w:r>
      <w:r w:rsidR="005A7F8E">
        <w:rPr>
          <w:bCs/>
        </w:rPr>
        <w:t>went on to opine</w:t>
      </w:r>
      <w:r w:rsidR="007F1509">
        <w:rPr>
          <w:bCs/>
        </w:rPr>
        <w:t>:</w:t>
      </w:r>
    </w:p>
    <w:p w:rsidR="0047558C" w:rsidRPr="00C314B7" w:rsidRDefault="007F1509" w:rsidP="00C314B7">
      <w:pPr>
        <w:pStyle w:val="Quote"/>
      </w:pPr>
      <w:r>
        <w:rPr>
          <w:lang w:val="en-AU"/>
        </w:rPr>
        <w:t>“</w:t>
      </w:r>
      <w:r>
        <w:t>In effect, such securities ‘create a type of currency’</w:t>
      </w:r>
      <w:r w:rsidRPr="007F1509">
        <w:t xml:space="preserve"> and are tr</w:t>
      </w:r>
      <w:r>
        <w:t>eated as being ‘as good as cash’</w:t>
      </w:r>
      <w:r w:rsidRPr="007F1509">
        <w:t xml:space="preserve">. Instruments of this nature are essential to international commerce and, in the absence of fraud, should be allowed to be </w:t>
      </w:r>
      <w:proofErr w:type="spellStart"/>
      <w:r w:rsidRPr="007F1509">
        <w:t>honoured</w:t>
      </w:r>
      <w:proofErr w:type="spellEnd"/>
      <w:r w:rsidRPr="007F1509">
        <w:t xml:space="preserve"> free from interference by the courts.</w:t>
      </w:r>
      <w:r w:rsidR="005A7F8E">
        <w:t>”</w:t>
      </w:r>
    </w:p>
    <w:p w:rsidR="00A878F6" w:rsidRDefault="00030668" w:rsidP="00886E27">
      <w:pPr>
        <w:spacing w:after="240"/>
      </w:pPr>
      <w:r>
        <w:t>Th</w:t>
      </w:r>
      <w:r w:rsidR="00177F42">
        <w:t xml:space="preserve">at view reflects what may be regarded as the </w:t>
      </w:r>
      <w:r>
        <w:t>traditional approach in Australia that</w:t>
      </w:r>
      <w:r w:rsidR="00E1286E" w:rsidRPr="00E1286E">
        <w:t xml:space="preserve"> a </w:t>
      </w:r>
      <w:r w:rsidR="00EC029B">
        <w:t>beneficiary under an irrevocable unconditional bank guarantee (</w:t>
      </w:r>
      <w:r w:rsidR="00E1286E" w:rsidRPr="00E1286E">
        <w:t xml:space="preserve">principal </w:t>
      </w:r>
      <w:r w:rsidR="00EC029B">
        <w:t xml:space="preserve">or head contractor as the case may be) </w:t>
      </w:r>
      <w:r w:rsidR="00E1286E" w:rsidRPr="00E1286E">
        <w:t xml:space="preserve">may call upon </w:t>
      </w:r>
      <w:r w:rsidR="00EC029B">
        <w:t>the security,</w:t>
      </w:r>
      <w:r w:rsidR="00E1286E" w:rsidRPr="00E1286E">
        <w:t xml:space="preserve"> </w:t>
      </w:r>
      <w:r w:rsidR="00EC029B">
        <w:t>save and except in the case of</w:t>
      </w:r>
      <w:r w:rsidR="00E1286E" w:rsidRPr="00E1286E">
        <w:t xml:space="preserve">: </w:t>
      </w:r>
    </w:p>
    <w:p w:rsidR="00A878F6" w:rsidRDefault="00EC029B" w:rsidP="00DA5D60">
      <w:pPr>
        <w:pStyle w:val="ListParagraph"/>
        <w:numPr>
          <w:ilvl w:val="0"/>
          <w:numId w:val="7"/>
        </w:numPr>
        <w:spacing w:before="100" w:beforeAutospacing="1" w:after="240"/>
        <w:contextualSpacing w:val="0"/>
      </w:pPr>
      <w:r>
        <w:t>fraud</w:t>
      </w:r>
      <w:r w:rsidR="00E1286E" w:rsidRPr="00E1286E">
        <w:t xml:space="preserve">; </w:t>
      </w:r>
    </w:p>
    <w:p w:rsidR="00A878F6" w:rsidRDefault="00E1286E" w:rsidP="00DA5D60">
      <w:pPr>
        <w:pStyle w:val="ListParagraph"/>
        <w:numPr>
          <w:ilvl w:val="0"/>
          <w:numId w:val="7"/>
        </w:numPr>
        <w:spacing w:before="100" w:beforeAutospacing="1" w:after="240"/>
        <w:contextualSpacing w:val="0"/>
      </w:pPr>
      <w:r w:rsidRPr="00E1286E">
        <w:t>uncon</w:t>
      </w:r>
      <w:r w:rsidR="00691F97">
        <w:t>scionability</w:t>
      </w:r>
      <w:r w:rsidRPr="00E1286E">
        <w:t>;</w:t>
      </w:r>
      <w:r w:rsidR="00E72BCD">
        <w:rPr>
          <w:rStyle w:val="FootnoteReference"/>
        </w:rPr>
        <w:footnoteReference w:id="6"/>
      </w:r>
      <w:r w:rsidRPr="00E1286E">
        <w:t xml:space="preserve"> or </w:t>
      </w:r>
    </w:p>
    <w:p w:rsidR="00E1286E" w:rsidRPr="00E1286E" w:rsidRDefault="00E1286E" w:rsidP="00DA5D60">
      <w:pPr>
        <w:pStyle w:val="ListParagraph"/>
        <w:numPr>
          <w:ilvl w:val="0"/>
          <w:numId w:val="7"/>
        </w:numPr>
        <w:spacing w:before="100" w:beforeAutospacing="1" w:after="240"/>
        <w:contextualSpacing w:val="0"/>
      </w:pPr>
      <w:r w:rsidRPr="00E1286E">
        <w:t xml:space="preserve">breach an express or implied restriction </w:t>
      </w:r>
      <w:r w:rsidR="00421E64">
        <w:t xml:space="preserve">(i.e. a negative stipulation) </w:t>
      </w:r>
      <w:r w:rsidRPr="00E1286E">
        <w:t xml:space="preserve">in the </w:t>
      </w:r>
      <w:r w:rsidR="00177F42">
        <w:t xml:space="preserve">underlying </w:t>
      </w:r>
      <w:r w:rsidRPr="00E1286E">
        <w:t>contract</w:t>
      </w:r>
      <w:r w:rsidR="00421E64">
        <w:t>.</w:t>
      </w:r>
      <w:r w:rsidR="00421E64">
        <w:rPr>
          <w:rStyle w:val="FootnoteReference"/>
        </w:rPr>
        <w:footnoteReference w:id="7"/>
      </w:r>
    </w:p>
    <w:p w:rsidR="00421E64" w:rsidRDefault="00421E64" w:rsidP="00886E27">
      <w:pPr>
        <w:spacing w:after="240"/>
      </w:pPr>
      <w:r>
        <w:t>The vast majority of reported decisions involve the third exception.</w:t>
      </w:r>
    </w:p>
    <w:p w:rsidR="009420E1" w:rsidRDefault="00671089" w:rsidP="00886E27">
      <w:pPr>
        <w:spacing w:after="240"/>
      </w:pPr>
      <w:r>
        <w:t xml:space="preserve">In all cases, the starting point for any analysis </w:t>
      </w:r>
      <w:r w:rsidR="00726CC6">
        <w:t>is</w:t>
      </w:r>
      <w:r>
        <w:t xml:space="preserve"> the proper construction of the terms of the relevant contract by which the parties agreed to regulate the circumstances permitting, and requirements for, recourse. </w:t>
      </w:r>
    </w:p>
    <w:p w:rsidR="006C1614" w:rsidRPr="005048CF" w:rsidRDefault="009420E1" w:rsidP="00886E27">
      <w:pPr>
        <w:spacing w:after="240"/>
        <w:rPr>
          <w:lang w:val="en-AU"/>
        </w:rPr>
      </w:pPr>
      <w:r>
        <w:t>I</w:t>
      </w:r>
      <w:r w:rsidR="00671089">
        <w:t>n</w:t>
      </w:r>
      <w:r w:rsidR="00C314B7">
        <w:t xml:space="preserve"> 2008, in</w:t>
      </w:r>
      <w:r w:rsidR="00671089">
        <w:t xml:space="preserve"> </w:t>
      </w:r>
      <w:r w:rsidR="00671089" w:rsidRPr="00C314B7">
        <w:rPr>
          <w:b/>
          <w:i/>
        </w:rPr>
        <w:t>Clough Engineering Ltd v Oil &amp; Natural Gas Corp Ltd</w:t>
      </w:r>
      <w:r>
        <w:t xml:space="preserve">, the Federal Court </w:t>
      </w:r>
      <w:r w:rsidR="0088782F" w:rsidRPr="009420E1">
        <w:t>provided</w:t>
      </w:r>
      <w:r w:rsidR="0088782F">
        <w:t xml:space="preserve"> what many have accepted as the orthodox approach</w:t>
      </w:r>
      <w:r w:rsidR="00671089">
        <w:t xml:space="preserve"> to construction in this context</w:t>
      </w:r>
      <w:r w:rsidR="00756BB0">
        <w:t xml:space="preserve">, one marked by </w:t>
      </w:r>
      <w:r w:rsidR="005048CF" w:rsidRPr="005048CF">
        <w:rPr>
          <w:lang w:val="en-AU"/>
        </w:rPr>
        <w:t xml:space="preserve">great weight to the </w:t>
      </w:r>
      <w:r w:rsidR="005048CF">
        <w:rPr>
          <w:lang w:val="en-AU"/>
        </w:rPr>
        <w:t xml:space="preserve">practical </w:t>
      </w:r>
      <w:r w:rsidR="005048CF" w:rsidRPr="005048CF">
        <w:rPr>
          <w:lang w:val="en-AU"/>
        </w:rPr>
        <w:t>commercial nature of performance bonds</w:t>
      </w:r>
      <w:r w:rsidR="00CB258B">
        <w:rPr>
          <w:lang w:val="en-AU"/>
        </w:rPr>
        <w:t>. The decision supported</w:t>
      </w:r>
      <w:r w:rsidR="005048CF" w:rsidRPr="005048CF">
        <w:rPr>
          <w:lang w:val="en-AU"/>
        </w:rPr>
        <w:t xml:space="preserve"> the unconditional </w:t>
      </w:r>
      <w:r w:rsidR="005048CF">
        <w:rPr>
          <w:lang w:val="en-AU"/>
        </w:rPr>
        <w:t xml:space="preserve">"as good as cash" </w:t>
      </w:r>
      <w:r w:rsidR="005048CF" w:rsidRPr="005048CF">
        <w:rPr>
          <w:lang w:val="en-AU"/>
        </w:rPr>
        <w:t>nature</w:t>
      </w:r>
      <w:r w:rsidR="00A052B5">
        <w:rPr>
          <w:rStyle w:val="FootnoteReference"/>
          <w:lang w:val="en-AU"/>
        </w:rPr>
        <w:footnoteReference w:id="8"/>
      </w:r>
      <w:r w:rsidR="005048CF" w:rsidRPr="005048CF">
        <w:rPr>
          <w:lang w:val="en-AU"/>
        </w:rPr>
        <w:t xml:space="preserve"> of the security by establishing that recourse may be had where there is a bona fide claim</w:t>
      </w:r>
      <w:r w:rsidR="005048CF">
        <w:rPr>
          <w:lang w:val="en-AU"/>
        </w:rPr>
        <w:t>, without necessarily having to establish a material entitlement</w:t>
      </w:r>
      <w:r w:rsidR="005048CF" w:rsidRPr="005048CF">
        <w:rPr>
          <w:lang w:val="en-AU"/>
        </w:rPr>
        <w:t>.  </w:t>
      </w:r>
    </w:p>
    <w:p w:rsidR="00CE7D89" w:rsidRDefault="00CE7D89" w:rsidP="00CE7D89">
      <w:pPr>
        <w:pStyle w:val="Heading1"/>
        <w:rPr>
          <w:i/>
        </w:rPr>
      </w:pPr>
      <w:r>
        <w:lastRenderedPageBreak/>
        <w:t xml:space="preserve">Philosophical shift away from </w:t>
      </w:r>
      <w:r>
        <w:rPr>
          <w:i/>
        </w:rPr>
        <w:t>Clough?</w:t>
      </w:r>
    </w:p>
    <w:p w:rsidR="00E1286E" w:rsidRPr="00C4464F" w:rsidRDefault="006C1614" w:rsidP="00886E27">
      <w:pPr>
        <w:spacing w:after="240"/>
        <w:rPr>
          <w:rFonts w:eastAsia="Times New Roman" w:cs="Arial"/>
          <w:shd w:val="clear" w:color="auto" w:fill="FFFFFF"/>
          <w:lang w:val="en-AU"/>
        </w:rPr>
      </w:pPr>
      <w:r w:rsidRPr="00C4464F">
        <w:t>However,</w:t>
      </w:r>
      <w:r w:rsidR="0088782F" w:rsidRPr="00C4464F">
        <w:t xml:space="preserve"> </w:t>
      </w:r>
      <w:r w:rsidR="00CB2E45" w:rsidRPr="00C4464F">
        <w:t xml:space="preserve">since the 2010 decision of the NSW Court of appeal in </w:t>
      </w:r>
      <w:r w:rsidR="00CB2E45" w:rsidRPr="00C4464F">
        <w:rPr>
          <w:b/>
          <w:i/>
        </w:rPr>
        <w:t xml:space="preserve">Lucas Stuart Pty Limited v </w:t>
      </w:r>
      <w:proofErr w:type="spellStart"/>
      <w:r w:rsidR="00CB2E45" w:rsidRPr="00C4464F">
        <w:rPr>
          <w:b/>
          <w:i/>
        </w:rPr>
        <w:t>Hemmes</w:t>
      </w:r>
      <w:proofErr w:type="spellEnd"/>
      <w:r w:rsidR="00CB2E45" w:rsidRPr="00C4464F">
        <w:rPr>
          <w:b/>
          <w:i/>
        </w:rPr>
        <w:t xml:space="preserve"> Hermitage Pty Limited</w:t>
      </w:r>
      <w:r w:rsidR="00CB2E45" w:rsidRPr="00C4464F">
        <w:t xml:space="preserve"> </w:t>
      </w:r>
      <w:r w:rsidR="00CB2E45" w:rsidRPr="00C4464F">
        <w:rPr>
          <w:rStyle w:val="FootnoteReference"/>
        </w:rPr>
        <w:footnoteReference w:id="9"/>
      </w:r>
      <w:r w:rsidR="00CB2E45" w:rsidRPr="00C4464F">
        <w:t xml:space="preserve"> </w:t>
      </w:r>
      <w:r w:rsidR="0088782F" w:rsidRPr="00C4464F">
        <w:t xml:space="preserve">a </w:t>
      </w:r>
      <w:r w:rsidR="003511B3" w:rsidRPr="00C4464F">
        <w:t>divergent approach</w:t>
      </w:r>
      <w:r w:rsidR="00C63385" w:rsidRPr="00C4464F">
        <w:t xml:space="preserve"> has emerged</w:t>
      </w:r>
      <w:r w:rsidR="0088782F" w:rsidRPr="00C4464F">
        <w:t xml:space="preserve">. </w:t>
      </w:r>
      <w:r w:rsidR="003511B3" w:rsidRPr="00C4464F">
        <w:t xml:space="preserve">In that case, </w:t>
      </w:r>
      <w:proofErr w:type="spellStart"/>
      <w:r w:rsidR="00D715F7" w:rsidRPr="00C4464F">
        <w:rPr>
          <w:lang w:val="en-AU"/>
        </w:rPr>
        <w:t>Macfarlan</w:t>
      </w:r>
      <w:proofErr w:type="spellEnd"/>
      <w:r w:rsidR="00C63385" w:rsidRPr="00C4464F">
        <w:rPr>
          <w:lang w:val="en-AU"/>
        </w:rPr>
        <w:t xml:space="preserve"> JA</w:t>
      </w:r>
      <w:r w:rsidR="00D715F7" w:rsidRPr="00C4464F">
        <w:rPr>
          <w:lang w:val="en-AU"/>
        </w:rPr>
        <w:t xml:space="preserve"> </w:t>
      </w:r>
      <w:r w:rsidR="0088782F" w:rsidRPr="00C4464F">
        <w:rPr>
          <w:lang w:val="en-AU"/>
        </w:rPr>
        <w:t xml:space="preserve">distinguished </w:t>
      </w:r>
      <w:r w:rsidR="00D715F7" w:rsidRPr="00C4464F">
        <w:rPr>
          <w:i/>
          <w:lang w:val="en-AU"/>
        </w:rPr>
        <w:t>Clough</w:t>
      </w:r>
      <w:r w:rsidR="00D715F7" w:rsidRPr="00C4464F">
        <w:rPr>
          <w:lang w:val="en-AU"/>
        </w:rPr>
        <w:t xml:space="preserve"> and </w:t>
      </w:r>
      <w:r w:rsidR="00F865F7" w:rsidRPr="00C4464F">
        <w:rPr>
          <w:lang w:val="en-AU"/>
        </w:rPr>
        <w:t>opined</w:t>
      </w:r>
      <w:r w:rsidR="00D715F7" w:rsidRPr="00C4464F">
        <w:rPr>
          <w:rFonts w:eastAsia="Times New Roman" w:cs="Arial"/>
          <w:shd w:val="clear" w:color="auto" w:fill="FFFFFF"/>
          <w:lang w:val="en-AU"/>
        </w:rPr>
        <w:t xml:space="preserve"> that the issue for construction was whether the Contractor had failed materially to comply with its obligations under the Contract, as opposed to failing to comply with a 'material obligation', </w:t>
      </w:r>
      <w:r w:rsidR="00F865F7" w:rsidRPr="00C4464F">
        <w:rPr>
          <w:rFonts w:eastAsia="Times New Roman" w:cs="Arial"/>
          <w:shd w:val="clear" w:color="auto" w:fill="FFFFFF"/>
          <w:lang w:val="en-AU"/>
        </w:rPr>
        <w:t>which</w:t>
      </w:r>
      <w:r w:rsidR="00D715F7" w:rsidRPr="00C4464F">
        <w:rPr>
          <w:rFonts w:eastAsia="Times New Roman" w:cs="Arial"/>
          <w:shd w:val="clear" w:color="auto" w:fill="FFFFFF"/>
          <w:lang w:val="en-AU"/>
        </w:rPr>
        <w:t xml:space="preserve"> required a holistic approach to the interpretation of those obligations.</w:t>
      </w:r>
    </w:p>
    <w:p w:rsidR="00F865F7" w:rsidRPr="005048CF" w:rsidRDefault="00C4464F" w:rsidP="00F865F7">
      <w:pPr>
        <w:spacing w:after="240"/>
        <w:rPr>
          <w:rFonts w:ascii="Times New Roman" w:eastAsia="Times New Roman" w:hAnsi="Times New Roman" w:cs="Times New Roman"/>
          <w:lang w:val="en-AU"/>
        </w:rPr>
      </w:pPr>
      <w:r>
        <w:rPr>
          <w:rFonts w:eastAsia="Times New Roman" w:cs="Arial"/>
          <w:color w:val="333333"/>
          <w:shd w:val="clear" w:color="auto" w:fill="FFFFFF"/>
          <w:lang w:val="en-AU"/>
        </w:rPr>
        <w:t>Thereafter, r</w:t>
      </w:r>
      <w:r w:rsidR="00F865F7">
        <w:rPr>
          <w:rFonts w:eastAsia="Times New Roman" w:cs="Arial"/>
          <w:color w:val="333333"/>
          <w:shd w:val="clear" w:color="auto" w:fill="FFFFFF"/>
          <w:lang w:val="en-AU"/>
        </w:rPr>
        <w:t xml:space="preserve">ecent decisions can be </w:t>
      </w:r>
      <w:r w:rsidR="00AD187F">
        <w:rPr>
          <w:rFonts w:eastAsia="Times New Roman" w:cs="Arial"/>
          <w:color w:val="333333"/>
          <w:shd w:val="clear" w:color="auto" w:fill="FFFFFF"/>
          <w:lang w:val="en-AU"/>
        </w:rPr>
        <w:t>identified as falling within two broad categories</w:t>
      </w:r>
      <w:r w:rsidR="00F865F7">
        <w:rPr>
          <w:rFonts w:eastAsia="Times New Roman" w:cs="Arial"/>
          <w:color w:val="333333"/>
          <w:shd w:val="clear" w:color="auto" w:fill="FFFFFF"/>
          <w:lang w:val="en-AU"/>
        </w:rPr>
        <w:t xml:space="preserve"> based on the Court's approach to construction of the contract</w:t>
      </w:r>
      <w:r w:rsidR="00561630">
        <w:rPr>
          <w:rFonts w:eastAsia="Times New Roman" w:cs="Arial"/>
          <w:color w:val="333333"/>
          <w:shd w:val="clear" w:color="auto" w:fill="FFFFFF"/>
          <w:lang w:val="en-AU"/>
        </w:rPr>
        <w:t>;</w:t>
      </w:r>
      <w:r w:rsidR="00324F12">
        <w:rPr>
          <w:rFonts w:eastAsia="Times New Roman" w:cs="Arial"/>
          <w:color w:val="333333"/>
          <w:shd w:val="clear" w:color="auto" w:fill="FFFFFF"/>
          <w:lang w:val="en-AU"/>
        </w:rPr>
        <w:t xml:space="preserve"> namely those in which:</w:t>
      </w:r>
    </w:p>
    <w:p w:rsidR="00F865F7" w:rsidRPr="00324F12" w:rsidRDefault="00F865F7" w:rsidP="00324F12">
      <w:pPr>
        <w:pStyle w:val="ListParagraph"/>
        <w:numPr>
          <w:ilvl w:val="0"/>
          <w:numId w:val="10"/>
        </w:numPr>
        <w:spacing w:after="240"/>
        <w:rPr>
          <w:lang w:val="en-AU"/>
        </w:rPr>
      </w:pPr>
      <w:r w:rsidRPr="00324F12">
        <w:rPr>
          <w:lang w:val="en-AU"/>
        </w:rPr>
        <w:t>the unconditional terms of the guarantee itself</w:t>
      </w:r>
      <w:r w:rsidR="00C4464F">
        <w:rPr>
          <w:lang w:val="en-AU"/>
        </w:rPr>
        <w:t>,</w:t>
      </w:r>
      <w:r w:rsidRPr="00324F12">
        <w:rPr>
          <w:lang w:val="en-AU"/>
        </w:rPr>
        <w:t xml:space="preserve"> </w:t>
      </w:r>
      <w:r w:rsidR="00C4464F">
        <w:rPr>
          <w:lang w:val="en-AU"/>
        </w:rPr>
        <w:t xml:space="preserve">and its purpose, </w:t>
      </w:r>
      <w:r w:rsidRPr="00324F12">
        <w:rPr>
          <w:lang w:val="en-AU"/>
        </w:rPr>
        <w:t>influence the interpretation of th</w:t>
      </w:r>
      <w:r w:rsidR="00391615">
        <w:rPr>
          <w:lang w:val="en-AU"/>
        </w:rPr>
        <w:t>e contract provisions governing recourse</w:t>
      </w:r>
      <w:r w:rsidRPr="00324F12">
        <w:rPr>
          <w:lang w:val="en-AU"/>
        </w:rPr>
        <w:t>; and</w:t>
      </w:r>
    </w:p>
    <w:p w:rsidR="00F865F7" w:rsidRPr="00324F12" w:rsidRDefault="00F865F7" w:rsidP="00324F12">
      <w:pPr>
        <w:pStyle w:val="ListParagraph"/>
        <w:numPr>
          <w:ilvl w:val="0"/>
          <w:numId w:val="10"/>
        </w:numPr>
        <w:spacing w:after="240"/>
        <w:rPr>
          <w:lang w:val="en-AU"/>
        </w:rPr>
      </w:pPr>
      <w:r w:rsidRPr="00324F12">
        <w:rPr>
          <w:lang w:val="en-AU"/>
        </w:rPr>
        <w:t>the terms of the contract govern whether recourse is in fact 'unconditional'</w:t>
      </w:r>
      <w:r w:rsidR="00391615">
        <w:rPr>
          <w:lang w:val="en-AU"/>
        </w:rPr>
        <w:t>.</w:t>
      </w:r>
    </w:p>
    <w:p w:rsidR="00F865F7" w:rsidRDefault="00391615" w:rsidP="00886E27">
      <w:pPr>
        <w:spacing w:after="240"/>
        <w:rPr>
          <w:rFonts w:eastAsia="Times New Roman" w:cs="Arial"/>
          <w:color w:val="333333"/>
          <w:shd w:val="clear" w:color="auto" w:fill="FFFFFF"/>
          <w:lang w:val="en-AU"/>
        </w:rPr>
      </w:pPr>
      <w:r>
        <w:rPr>
          <w:rFonts w:eastAsia="Times New Roman" w:cs="Arial"/>
          <w:color w:val="333333"/>
          <w:shd w:val="clear" w:color="auto" w:fill="FFFFFF"/>
          <w:lang w:val="en-AU"/>
        </w:rPr>
        <w:t>The different approaches</w:t>
      </w:r>
      <w:r w:rsidR="00324F12">
        <w:rPr>
          <w:rFonts w:eastAsia="Times New Roman" w:cs="Arial"/>
          <w:color w:val="333333"/>
          <w:shd w:val="clear" w:color="auto" w:fill="FFFFFF"/>
          <w:lang w:val="en-AU"/>
        </w:rPr>
        <w:t xml:space="preserve"> demonstrate, in effect, a choice between whether construction is underpinned by a presumption as to the 'good as cash' purpose of a guarantee, or whether the terms of the contract inform the nature of the guarantee. </w:t>
      </w:r>
    </w:p>
    <w:p w:rsidR="005E7F56" w:rsidRPr="0065285E" w:rsidRDefault="005E7F56" w:rsidP="00886E27">
      <w:pPr>
        <w:pStyle w:val="Heading1"/>
        <w:spacing w:after="240"/>
        <w:rPr>
          <w:lang w:val="en-AU"/>
        </w:rPr>
      </w:pPr>
      <w:r w:rsidRPr="00B71E1A">
        <w:rPr>
          <w:i/>
        </w:rPr>
        <w:t>RCR O’Donnell Griffin Pty Ltd v Forge Group Power Pty Ltd</w:t>
      </w:r>
      <w:r w:rsidRPr="00B04BF7">
        <w:t xml:space="preserve"> (recs and </w:t>
      </w:r>
      <w:proofErr w:type="spellStart"/>
      <w:r w:rsidRPr="00B04BF7">
        <w:t>mgrs</w:t>
      </w:r>
      <w:proofErr w:type="spellEnd"/>
      <w:r w:rsidRPr="00B04BF7">
        <w:t xml:space="preserve"> </w:t>
      </w:r>
      <w:proofErr w:type="spellStart"/>
      <w:r w:rsidRPr="00B04BF7">
        <w:t>apptd</w:t>
      </w:r>
      <w:proofErr w:type="spellEnd"/>
      <w:r w:rsidRPr="00B04BF7">
        <w:t xml:space="preserve">) (in </w:t>
      </w:r>
      <w:proofErr w:type="spellStart"/>
      <w:r w:rsidRPr="00B04BF7">
        <w:t>liq</w:t>
      </w:r>
      <w:proofErr w:type="spellEnd"/>
      <w:r w:rsidRPr="00B04BF7">
        <w:t xml:space="preserve">) [2016] QCA 214 </w:t>
      </w:r>
      <w:r w:rsidRPr="0065285E">
        <w:rPr>
          <w:lang w:val="en-AU"/>
        </w:rPr>
        <w:t>(26 August 2016)</w:t>
      </w:r>
    </w:p>
    <w:p w:rsidR="000761A4" w:rsidRDefault="005E7F56" w:rsidP="00886E27">
      <w:pPr>
        <w:spacing w:after="240"/>
      </w:pPr>
      <w:r>
        <w:t xml:space="preserve">Forge was </w:t>
      </w:r>
      <w:r w:rsidR="000761A4">
        <w:t>the head</w:t>
      </w:r>
      <w:r>
        <w:t xml:space="preserve"> D&amp;C </w:t>
      </w:r>
      <w:r w:rsidR="000761A4">
        <w:t xml:space="preserve">contractor </w:t>
      </w:r>
      <w:r>
        <w:t xml:space="preserve">on the Diamantina Power Station </w:t>
      </w:r>
      <w:r w:rsidR="000761A4">
        <w:t xml:space="preserve">project </w:t>
      </w:r>
      <w:r>
        <w:t>in Mt Isa. Forge engaged RCR as an electrical subcontractor.</w:t>
      </w:r>
      <w:r w:rsidR="000761A4">
        <w:t xml:space="preserve"> </w:t>
      </w:r>
      <w:r>
        <w:t xml:space="preserve">Under the subcontract, RCR provided </w:t>
      </w:r>
      <w:r w:rsidR="000761A4">
        <w:t xml:space="preserve">Forge with </w:t>
      </w:r>
      <w:r>
        <w:t xml:space="preserve">two unconditional bank guarantees totaling approximately $5 million. </w:t>
      </w:r>
    </w:p>
    <w:p w:rsidR="000761A4" w:rsidRDefault="005E7F56" w:rsidP="00886E27">
      <w:pPr>
        <w:spacing w:after="240"/>
      </w:pPr>
      <w:r>
        <w:t>Cl</w:t>
      </w:r>
      <w:r w:rsidR="000761A4">
        <w:t>ause</w:t>
      </w:r>
      <w:r>
        <w:t xml:space="preserve"> 5.2 of the subcontract entitled Forge to have recourse to the guarantees where it remained “</w:t>
      </w:r>
      <w:r w:rsidRPr="0098670F">
        <w:rPr>
          <w:b/>
          <w:i/>
        </w:rPr>
        <w:t>unpaid after the time for payment</w:t>
      </w:r>
      <w:r>
        <w:t xml:space="preserve">”. </w:t>
      </w:r>
    </w:p>
    <w:p w:rsidR="005E7F56" w:rsidRDefault="005E7F56" w:rsidP="00886E27">
      <w:pPr>
        <w:spacing w:after="240"/>
      </w:pPr>
      <w:r>
        <w:t>Cl</w:t>
      </w:r>
      <w:r w:rsidR="003D13D1">
        <w:t>ause</w:t>
      </w:r>
      <w:r>
        <w:t xml:space="preserve"> 34.7 </w:t>
      </w:r>
      <w:r w:rsidR="003D13D1">
        <w:t xml:space="preserve">empowered </w:t>
      </w:r>
      <w:r>
        <w:t xml:space="preserve">the Superintendent </w:t>
      </w:r>
      <w:r w:rsidR="003D13D1">
        <w:t>to certify</w:t>
      </w:r>
      <w:r>
        <w:t xml:space="preserve"> </w:t>
      </w:r>
      <w:r w:rsidR="003D13D1">
        <w:t xml:space="preserve">liquidated damages as </w:t>
      </w:r>
      <w:r>
        <w:t>due and payable if RCR failed to reach practical completion by the date for practical completion.</w:t>
      </w:r>
    </w:p>
    <w:p w:rsidR="009B70BE" w:rsidRDefault="005E7F56" w:rsidP="00886E27">
      <w:pPr>
        <w:spacing w:after="240"/>
        <w:rPr>
          <w:lang w:val="en-AU"/>
        </w:rPr>
      </w:pPr>
      <w:r>
        <w:lastRenderedPageBreak/>
        <w:t>During the course of the works, Forge became insolven</w:t>
      </w:r>
      <w:r w:rsidR="003D13D1">
        <w:t>t</w:t>
      </w:r>
      <w:r>
        <w:t xml:space="preserve"> and </w:t>
      </w:r>
      <w:r w:rsidR="00BC0908">
        <w:t>receivers were appointed</w:t>
      </w:r>
      <w:r>
        <w:t xml:space="preserve">. </w:t>
      </w:r>
      <w:r w:rsidR="00691F97">
        <w:t>The Principal</w:t>
      </w:r>
      <w:r>
        <w:t xml:space="preserve">, Forge and RCR entered into a Deed of Novation pursuant to which RCR entered a new contract with </w:t>
      </w:r>
      <w:r w:rsidR="00233086">
        <w:t xml:space="preserve">the Principal </w:t>
      </w:r>
      <w:r>
        <w:t>for performance of the remainder of the subcontract works. Forge</w:t>
      </w:r>
      <w:r w:rsidR="00233086">
        <w:t>’s</w:t>
      </w:r>
      <w:r>
        <w:t xml:space="preserve"> </w:t>
      </w:r>
      <w:r w:rsidR="00233086">
        <w:t xml:space="preserve">receivers </w:t>
      </w:r>
      <w:r>
        <w:t>appointed a new superintendent, and shortly thereafter (within an hour!)</w:t>
      </w:r>
      <w:r w:rsidR="00233086">
        <w:t>,</w:t>
      </w:r>
      <w:r>
        <w:t xml:space="preserve"> the superintendent certified LDs in the amount of approximately $2.5 million. </w:t>
      </w:r>
      <w:r w:rsidRPr="003F746C">
        <w:rPr>
          <w:lang w:val="en-AU"/>
        </w:rPr>
        <w:t>Forge’s receivers demanded payment of the LDs, and informed RCR</w:t>
      </w:r>
      <w:r>
        <w:rPr>
          <w:lang w:val="en-AU"/>
        </w:rPr>
        <w:t xml:space="preserve"> that they intended to </w:t>
      </w:r>
      <w:r w:rsidRPr="003F746C">
        <w:rPr>
          <w:lang w:val="en-AU"/>
        </w:rPr>
        <w:t xml:space="preserve">have recourse to the </w:t>
      </w:r>
      <w:r w:rsidR="00074093">
        <w:rPr>
          <w:lang w:val="en-AU"/>
        </w:rPr>
        <w:t>guarantees</w:t>
      </w:r>
      <w:r w:rsidRPr="003F746C">
        <w:rPr>
          <w:lang w:val="en-AU"/>
        </w:rPr>
        <w:t xml:space="preserve"> if </w:t>
      </w:r>
      <w:r w:rsidR="00634601">
        <w:rPr>
          <w:lang w:val="en-AU"/>
        </w:rPr>
        <w:t>the</w:t>
      </w:r>
      <w:r w:rsidRPr="003F746C">
        <w:rPr>
          <w:lang w:val="en-AU"/>
        </w:rPr>
        <w:t xml:space="preserve"> demand was not met. </w:t>
      </w:r>
    </w:p>
    <w:p w:rsidR="005E7F56" w:rsidRPr="004A4046" w:rsidRDefault="009B70BE" w:rsidP="00886E27">
      <w:pPr>
        <w:spacing w:after="240"/>
      </w:pPr>
      <w:r>
        <w:rPr>
          <w:lang w:val="en-AU"/>
        </w:rPr>
        <w:t xml:space="preserve">RCR commenced proceedings. </w:t>
      </w:r>
      <w:r w:rsidR="00640561" w:rsidRPr="003F746C">
        <w:rPr>
          <w:lang w:val="en-AU"/>
        </w:rPr>
        <w:t xml:space="preserve">Forge argued that pursuant to clause 5.2, it was entitled to have recourse to </w:t>
      </w:r>
      <w:r w:rsidR="00634601">
        <w:rPr>
          <w:lang w:val="en-AU"/>
        </w:rPr>
        <w:t xml:space="preserve">the </w:t>
      </w:r>
      <w:r w:rsidR="00640561" w:rsidRPr="003F746C">
        <w:rPr>
          <w:lang w:val="en-AU"/>
        </w:rPr>
        <w:t xml:space="preserve">security on a bona fide (genuine) claim. RCR </w:t>
      </w:r>
      <w:r w:rsidR="00640561">
        <w:rPr>
          <w:lang w:val="en-AU"/>
        </w:rPr>
        <w:t>contended</w:t>
      </w:r>
      <w:r w:rsidR="00640561" w:rsidRPr="003F746C">
        <w:rPr>
          <w:lang w:val="en-AU"/>
        </w:rPr>
        <w:t xml:space="preserve"> that Forge’s right of recourse was dependent upon the existence of a</w:t>
      </w:r>
      <w:r w:rsidR="00640561">
        <w:rPr>
          <w:lang w:val="en-AU"/>
        </w:rPr>
        <w:t>n actual</w:t>
      </w:r>
      <w:r w:rsidR="00640561" w:rsidRPr="003F746C">
        <w:rPr>
          <w:lang w:val="en-AU"/>
        </w:rPr>
        <w:t xml:space="preserve"> debt due to it. </w:t>
      </w:r>
      <w:r>
        <w:rPr>
          <w:lang w:val="en-AU"/>
        </w:rPr>
        <w:t xml:space="preserve">The primary judge </w:t>
      </w:r>
      <w:r w:rsidR="00640561">
        <w:rPr>
          <w:lang w:val="en-AU"/>
        </w:rPr>
        <w:t>held, inter alia, that Forge was entitled to have recourse to the guarantees.</w:t>
      </w:r>
    </w:p>
    <w:p w:rsidR="005E7F56" w:rsidRPr="003F746C" w:rsidRDefault="00640561" w:rsidP="00886E27">
      <w:pPr>
        <w:spacing w:after="240"/>
        <w:rPr>
          <w:lang w:val="en-AU"/>
        </w:rPr>
      </w:pPr>
      <w:r>
        <w:rPr>
          <w:lang w:val="en-AU"/>
        </w:rPr>
        <w:t xml:space="preserve">On appeal, </w:t>
      </w:r>
      <w:r w:rsidR="00CC762D">
        <w:rPr>
          <w:lang w:val="en-AU"/>
        </w:rPr>
        <w:t xml:space="preserve">the plurality </w:t>
      </w:r>
      <w:r w:rsidR="005E7F56" w:rsidRPr="003F746C">
        <w:rPr>
          <w:lang w:val="en-AU"/>
        </w:rPr>
        <w:t xml:space="preserve">held that </w:t>
      </w:r>
      <w:r w:rsidR="00CC762D">
        <w:rPr>
          <w:lang w:val="en-AU"/>
        </w:rPr>
        <w:t>on the</w:t>
      </w:r>
      <w:r w:rsidR="005E7F56" w:rsidRPr="003F746C">
        <w:rPr>
          <w:lang w:val="en-AU"/>
        </w:rPr>
        <w:t xml:space="preserve"> </w:t>
      </w:r>
      <w:r w:rsidR="005E7F56">
        <w:rPr>
          <w:lang w:val="en-AU"/>
        </w:rPr>
        <w:t>correct interpretation</w:t>
      </w:r>
      <w:r w:rsidR="005E7F56" w:rsidRPr="003F746C">
        <w:rPr>
          <w:lang w:val="en-AU"/>
        </w:rPr>
        <w:t xml:space="preserve"> of clause 5.2</w:t>
      </w:r>
      <w:r w:rsidR="00CC762D">
        <w:rPr>
          <w:lang w:val="en-AU"/>
        </w:rPr>
        <w:t>,</w:t>
      </w:r>
      <w:r w:rsidR="005E7F56" w:rsidRPr="003F746C">
        <w:rPr>
          <w:lang w:val="en-AU"/>
        </w:rPr>
        <w:t xml:space="preserve"> Forge</w:t>
      </w:r>
      <w:r w:rsidR="00CC762D">
        <w:rPr>
          <w:lang w:val="en-AU"/>
        </w:rPr>
        <w:t xml:space="preserve"> was entitled </w:t>
      </w:r>
      <w:r w:rsidR="005E7F56" w:rsidRPr="003F746C">
        <w:rPr>
          <w:lang w:val="en-AU"/>
        </w:rPr>
        <w:t xml:space="preserve">to recourse </w:t>
      </w:r>
      <w:r w:rsidR="005E7F56" w:rsidRPr="00AC5EDE">
        <w:rPr>
          <w:i/>
          <w:lang w:val="en-AU"/>
        </w:rPr>
        <w:t>only</w:t>
      </w:r>
      <w:r w:rsidR="005E7F56" w:rsidRPr="003F746C">
        <w:rPr>
          <w:lang w:val="en-AU"/>
        </w:rPr>
        <w:t xml:space="preserve"> where, as a matter of objective fact (rather than subjective belief), there was an outstanding debt owed to it by RCR. </w:t>
      </w:r>
      <w:r w:rsidR="000C3883">
        <w:rPr>
          <w:lang w:val="en-AU"/>
        </w:rPr>
        <w:t>McMurdo JA (</w:t>
      </w:r>
      <w:proofErr w:type="spellStart"/>
      <w:r w:rsidR="000C3883">
        <w:rPr>
          <w:lang w:val="en-AU"/>
        </w:rPr>
        <w:t>Applegarth</w:t>
      </w:r>
      <w:proofErr w:type="spellEnd"/>
      <w:r w:rsidR="000C3883">
        <w:rPr>
          <w:lang w:val="en-AU"/>
        </w:rPr>
        <w:t xml:space="preserve"> J agreeing)</w:t>
      </w:r>
      <w:r w:rsidR="000C3883" w:rsidRPr="003F746C">
        <w:rPr>
          <w:lang w:val="en-AU"/>
        </w:rPr>
        <w:t xml:space="preserve"> </w:t>
      </w:r>
      <w:r w:rsidR="00CC762D">
        <w:rPr>
          <w:lang w:val="en-AU"/>
        </w:rPr>
        <w:t>opined</w:t>
      </w:r>
      <w:r w:rsidR="005E7F56" w:rsidRPr="003F746C">
        <w:rPr>
          <w:lang w:val="en-AU"/>
        </w:rPr>
        <w:t>:</w:t>
      </w:r>
      <w:r w:rsidR="00CC762D">
        <w:rPr>
          <w:rStyle w:val="FootnoteReference"/>
          <w:lang w:val="en-AU"/>
        </w:rPr>
        <w:footnoteReference w:id="10"/>
      </w:r>
      <w:r w:rsidR="005E7F56" w:rsidRPr="003F746C">
        <w:rPr>
          <w:lang w:val="en-AU"/>
        </w:rPr>
        <w:t xml:space="preserve"> </w:t>
      </w:r>
    </w:p>
    <w:p w:rsidR="007635D6" w:rsidRDefault="00CC762D" w:rsidP="003F3A1A">
      <w:pPr>
        <w:pStyle w:val="Quote"/>
        <w:rPr>
          <w:lang w:val="en-AU"/>
        </w:rPr>
      </w:pPr>
      <w:r>
        <w:rPr>
          <w:lang w:val="en-AU"/>
        </w:rPr>
        <w:t>“</w:t>
      </w:r>
      <w:r w:rsidR="005E7F56" w:rsidRPr="00AC5EDE">
        <w:rPr>
          <w:lang w:val="en-AU"/>
        </w:rPr>
        <w:t xml:space="preserve">[T]he </w:t>
      </w:r>
      <w:proofErr w:type="gramStart"/>
      <w:r w:rsidR="005E7F56" w:rsidRPr="00AC5EDE">
        <w:rPr>
          <w:lang w:val="en-AU"/>
        </w:rPr>
        <w:t>precondition</w:t>
      </w:r>
      <w:proofErr w:type="gramEnd"/>
      <w:r w:rsidR="005E7F56" w:rsidRPr="00AC5EDE">
        <w:rPr>
          <w:lang w:val="en-AU"/>
        </w:rPr>
        <w:t xml:space="preserve"> to recourse to the security was the fact of money being unpaid to [Forge]. Clause 5.2 was not in terms which referred to a belief, or grounds for a belie</w:t>
      </w:r>
      <w:r w:rsidR="005E7F56">
        <w:rPr>
          <w:lang w:val="en-AU"/>
        </w:rPr>
        <w:t>f, that money remained unpaid</w:t>
      </w:r>
      <w:r w:rsidR="005E7F56" w:rsidRPr="00AC5EDE">
        <w:rPr>
          <w:lang w:val="en-AU"/>
        </w:rPr>
        <w:t>.</w:t>
      </w:r>
      <w:r w:rsidR="007635D6">
        <w:rPr>
          <w:lang w:val="en-AU"/>
        </w:rPr>
        <w:t xml:space="preserve"> …</w:t>
      </w:r>
    </w:p>
    <w:p w:rsidR="005E7F56" w:rsidRPr="007635D6" w:rsidRDefault="007635D6" w:rsidP="007635D6">
      <w:pPr>
        <w:pStyle w:val="Quote"/>
      </w:pPr>
      <w:r w:rsidRPr="007635D6">
        <w:t>The implication that a security could be called upon merely where there was a claim in good faith could have no operation once the absence of merit in that claim was established.</w:t>
      </w:r>
      <w:r w:rsidR="00CC762D">
        <w:rPr>
          <w:lang w:val="en-AU"/>
        </w:rPr>
        <w:t>”</w:t>
      </w:r>
      <w:r w:rsidR="005E7F56" w:rsidRPr="00AC5EDE">
        <w:rPr>
          <w:lang w:val="en-AU"/>
        </w:rPr>
        <w:t xml:space="preserve"> </w:t>
      </w:r>
    </w:p>
    <w:p w:rsidR="005E7F56" w:rsidRPr="00B94468" w:rsidRDefault="005E7F56" w:rsidP="00886E27">
      <w:pPr>
        <w:spacing w:after="240"/>
        <w:rPr>
          <w:lang w:val="en-AU"/>
        </w:rPr>
      </w:pPr>
      <w:r>
        <w:rPr>
          <w:lang w:val="en-AU"/>
        </w:rPr>
        <w:t xml:space="preserve">McMurdo JA </w:t>
      </w:r>
      <w:r w:rsidR="00CC762D">
        <w:rPr>
          <w:lang w:val="en-AU"/>
        </w:rPr>
        <w:t xml:space="preserve">also </w:t>
      </w:r>
      <w:r>
        <w:rPr>
          <w:lang w:val="en-AU"/>
        </w:rPr>
        <w:t>found</w:t>
      </w:r>
      <w:r w:rsidR="00CC762D">
        <w:rPr>
          <w:lang w:val="en-AU"/>
        </w:rPr>
        <w:t xml:space="preserve"> </w:t>
      </w:r>
      <w:r>
        <w:rPr>
          <w:lang w:val="en-AU"/>
        </w:rPr>
        <w:t xml:space="preserve">that the </w:t>
      </w:r>
      <w:r w:rsidRPr="004A4046">
        <w:rPr>
          <w:lang w:val="en-AU"/>
        </w:rPr>
        <w:t xml:space="preserve">superintendent had not been validly appointed, and that </w:t>
      </w:r>
      <w:r w:rsidR="00CC762D">
        <w:rPr>
          <w:lang w:val="en-AU"/>
        </w:rPr>
        <w:t>his</w:t>
      </w:r>
      <w:r w:rsidRPr="004A4046">
        <w:rPr>
          <w:lang w:val="en-AU"/>
        </w:rPr>
        <w:t xml:space="preserve"> certification of liquidated damages was therefore invalid. </w:t>
      </w:r>
      <w:r w:rsidR="00CC762D">
        <w:rPr>
          <w:lang w:val="en-AU"/>
        </w:rPr>
        <w:t xml:space="preserve">His Honour </w:t>
      </w:r>
      <w:r w:rsidRPr="004A4046">
        <w:rPr>
          <w:lang w:val="en-AU"/>
        </w:rPr>
        <w:t>rejected Forge’s argument that clause 34.7 crea</w:t>
      </w:r>
      <w:r>
        <w:rPr>
          <w:lang w:val="en-AU"/>
        </w:rPr>
        <w:t>ted an</w:t>
      </w:r>
      <w:r w:rsidRPr="004A4046">
        <w:rPr>
          <w:lang w:val="en-AU"/>
        </w:rPr>
        <w:t xml:space="preserve"> entitlement to LDs, even in the absence of a certificate issued by the superintendent. </w:t>
      </w:r>
    </w:p>
    <w:p w:rsidR="00C314B7" w:rsidRDefault="005E7F56" w:rsidP="00C314B7">
      <w:pPr>
        <w:spacing w:after="240"/>
      </w:pPr>
      <w:r>
        <w:t xml:space="preserve">It may be queried whether the QCA </w:t>
      </w:r>
      <w:r w:rsidR="00F013E5">
        <w:t>may</w:t>
      </w:r>
      <w:r>
        <w:t xml:space="preserve"> have </w:t>
      </w:r>
      <w:r w:rsidR="00F013E5">
        <w:t xml:space="preserve">arrived at a different result </w:t>
      </w:r>
      <w:r w:rsidR="00FC4E46">
        <w:t xml:space="preserve">had Forge’s entitlement to LDs been </w:t>
      </w:r>
      <w:r>
        <w:t>found</w:t>
      </w:r>
      <w:r w:rsidR="00FC4E46">
        <w:t>ed</w:t>
      </w:r>
      <w:r>
        <w:t xml:space="preserve"> </w:t>
      </w:r>
      <w:r w:rsidR="00FC4E46">
        <w:t>on a valid certificate</w:t>
      </w:r>
      <w:r>
        <w:t>.</w:t>
      </w:r>
    </w:p>
    <w:p w:rsidR="005E7F56" w:rsidRPr="00DF37F6" w:rsidRDefault="005E7F56" w:rsidP="00886E27">
      <w:pPr>
        <w:pStyle w:val="Heading1"/>
        <w:spacing w:after="240"/>
        <w:rPr>
          <w:lang w:val="en-AU"/>
        </w:rPr>
      </w:pPr>
      <w:r w:rsidRPr="00FC4E46">
        <w:rPr>
          <w:i/>
        </w:rPr>
        <w:lastRenderedPageBreak/>
        <w:t>CPB Contractors Pty Ltd v JKC Australia LNG Pty Ltd [No 2]</w:t>
      </w:r>
      <w:r w:rsidRPr="00B04BF7">
        <w:t xml:space="preserve"> [2017] WASCA 123</w:t>
      </w:r>
      <w:r>
        <w:t xml:space="preserve"> </w:t>
      </w:r>
      <w:r w:rsidRPr="00DF37F6">
        <w:rPr>
          <w:lang w:val="en-AU"/>
        </w:rPr>
        <w:t>(30 June 2017)</w:t>
      </w:r>
    </w:p>
    <w:p w:rsidR="005E7F56" w:rsidRDefault="00A54563" w:rsidP="00D578C0">
      <w:pPr>
        <w:spacing w:before="0" w:after="240"/>
        <w:rPr>
          <w:rFonts w:eastAsia="Times New Roman" w:cs="Arial"/>
          <w:lang w:val="en-AU"/>
        </w:rPr>
      </w:pPr>
      <w:r>
        <w:rPr>
          <w:rFonts w:eastAsia="Times New Roman" w:cs="Arial"/>
          <w:lang w:val="en-AU"/>
        </w:rPr>
        <w:t>JKC, the head contractor on</w:t>
      </w:r>
      <w:r w:rsidR="00D578C0">
        <w:rPr>
          <w:rFonts w:eastAsia="Times New Roman" w:cs="Arial"/>
          <w:lang w:val="en-AU"/>
        </w:rPr>
        <w:t xml:space="preserve"> the</w:t>
      </w:r>
      <w:r>
        <w:rPr>
          <w:rFonts w:eastAsia="Times New Roman" w:cs="Arial"/>
          <w:lang w:val="en-AU"/>
        </w:rPr>
        <w:t xml:space="preserve"> </w:t>
      </w:r>
      <w:r w:rsidR="00AD6C20">
        <w:rPr>
          <w:rFonts w:eastAsia="Times New Roman" w:cs="Arial"/>
          <w:lang w:val="en-AU"/>
        </w:rPr>
        <w:t>‘</w:t>
      </w:r>
      <w:proofErr w:type="spellStart"/>
      <w:r w:rsidR="00D578C0" w:rsidRPr="00D578C0">
        <w:rPr>
          <w:rFonts w:eastAsia="Times New Roman" w:cs="Arial"/>
          <w:lang w:val="en-AU"/>
        </w:rPr>
        <w:t>Ichthys</w:t>
      </w:r>
      <w:proofErr w:type="spellEnd"/>
      <w:r w:rsidR="00AD6C20">
        <w:rPr>
          <w:rFonts w:eastAsia="Times New Roman" w:cs="Arial"/>
          <w:lang w:val="en-AU"/>
        </w:rPr>
        <w:t>’</w:t>
      </w:r>
      <w:r w:rsidR="00D578C0" w:rsidRPr="00D578C0">
        <w:rPr>
          <w:rFonts w:eastAsia="Times New Roman" w:cs="Arial"/>
          <w:lang w:val="en-AU"/>
        </w:rPr>
        <w:t xml:space="preserve"> LNG off-shore oil and gas project</w:t>
      </w:r>
      <w:r w:rsidR="00621B62">
        <w:rPr>
          <w:rFonts w:eastAsia="Times New Roman" w:cs="Arial"/>
          <w:lang w:val="en-AU"/>
        </w:rPr>
        <w:t>,</w:t>
      </w:r>
      <w:r w:rsidRPr="002A24F4">
        <w:rPr>
          <w:rFonts w:eastAsia="Times New Roman" w:cs="Arial"/>
          <w:lang w:val="en-AU"/>
        </w:rPr>
        <w:t xml:space="preserve"> </w:t>
      </w:r>
      <w:r w:rsidR="00621B62">
        <w:rPr>
          <w:rFonts w:eastAsia="Times New Roman" w:cs="Arial"/>
          <w:lang w:val="en-AU"/>
        </w:rPr>
        <w:t>claimed</w:t>
      </w:r>
      <w:r w:rsidR="005E7F56" w:rsidRPr="002A24F4">
        <w:rPr>
          <w:rFonts w:eastAsia="Times New Roman" w:cs="Arial"/>
          <w:lang w:val="en-AU"/>
        </w:rPr>
        <w:t xml:space="preserve"> liquidated damages from </w:t>
      </w:r>
      <w:r>
        <w:rPr>
          <w:rFonts w:eastAsia="Times New Roman" w:cs="Arial"/>
          <w:lang w:val="en-AU"/>
        </w:rPr>
        <w:t>its s</w:t>
      </w:r>
      <w:r w:rsidRPr="008219B0">
        <w:rPr>
          <w:rFonts w:eastAsia="Times New Roman" w:cs="Arial"/>
          <w:lang w:val="en-AU"/>
        </w:rPr>
        <w:t>ubcontractor</w:t>
      </w:r>
      <w:r>
        <w:rPr>
          <w:rFonts w:eastAsia="Times New Roman" w:cs="Arial"/>
          <w:lang w:val="en-AU"/>
        </w:rPr>
        <w:t>,</w:t>
      </w:r>
      <w:r w:rsidRPr="002A24F4">
        <w:rPr>
          <w:rFonts w:eastAsia="Times New Roman" w:cs="Arial"/>
          <w:lang w:val="en-AU"/>
        </w:rPr>
        <w:t xml:space="preserve"> </w:t>
      </w:r>
      <w:r w:rsidR="005E7F56" w:rsidRPr="002A24F4">
        <w:rPr>
          <w:rFonts w:eastAsia="Times New Roman" w:cs="Arial"/>
          <w:lang w:val="en-AU"/>
        </w:rPr>
        <w:t>CPB</w:t>
      </w:r>
      <w:r>
        <w:rPr>
          <w:rFonts w:eastAsia="Times New Roman" w:cs="Arial"/>
          <w:lang w:val="en-AU"/>
        </w:rPr>
        <w:t>,</w:t>
      </w:r>
      <w:r w:rsidR="005E7F56" w:rsidRPr="002A24F4">
        <w:rPr>
          <w:rFonts w:eastAsia="Times New Roman" w:cs="Arial"/>
          <w:lang w:val="en-AU"/>
        </w:rPr>
        <w:t xml:space="preserve"> </w:t>
      </w:r>
      <w:r>
        <w:rPr>
          <w:rFonts w:eastAsia="Times New Roman" w:cs="Arial"/>
          <w:lang w:val="en-AU"/>
        </w:rPr>
        <w:t>resulting from</w:t>
      </w:r>
      <w:r w:rsidR="00D578C0">
        <w:rPr>
          <w:rFonts w:eastAsia="Times New Roman" w:cs="Arial"/>
          <w:lang w:val="en-AU"/>
        </w:rPr>
        <w:t xml:space="preserve"> CPB’s</w:t>
      </w:r>
      <w:r>
        <w:rPr>
          <w:rFonts w:eastAsia="Times New Roman" w:cs="Arial"/>
          <w:lang w:val="en-AU"/>
        </w:rPr>
        <w:t xml:space="preserve"> delay in achieving certain</w:t>
      </w:r>
      <w:r w:rsidR="005E7F56" w:rsidRPr="002A24F4">
        <w:rPr>
          <w:rFonts w:eastAsia="Times New Roman" w:cs="Arial"/>
          <w:lang w:val="en-AU"/>
        </w:rPr>
        <w:t xml:space="preserve"> mile</w:t>
      </w:r>
      <w:r w:rsidR="005E7F56">
        <w:rPr>
          <w:rFonts w:eastAsia="Times New Roman" w:cs="Arial"/>
          <w:lang w:val="en-AU"/>
        </w:rPr>
        <w:t>stone</w:t>
      </w:r>
      <w:r>
        <w:rPr>
          <w:rFonts w:eastAsia="Times New Roman" w:cs="Arial"/>
          <w:lang w:val="en-AU"/>
        </w:rPr>
        <w:t>s</w:t>
      </w:r>
      <w:r w:rsidR="005D28D5">
        <w:rPr>
          <w:rFonts w:eastAsia="Times New Roman" w:cs="Arial"/>
          <w:lang w:val="en-AU"/>
        </w:rPr>
        <w:t>.</w:t>
      </w:r>
      <w:r w:rsidR="005E7F56">
        <w:rPr>
          <w:rFonts w:eastAsia="Times New Roman" w:cs="Arial"/>
          <w:lang w:val="en-AU"/>
        </w:rPr>
        <w:t xml:space="preserve"> </w:t>
      </w:r>
    </w:p>
    <w:p w:rsidR="005E7F56" w:rsidRPr="002A24F4" w:rsidRDefault="005D28D5" w:rsidP="00886E27">
      <w:pPr>
        <w:spacing w:before="0" w:after="240"/>
        <w:rPr>
          <w:rFonts w:eastAsia="Times New Roman" w:cs="Arial"/>
          <w:lang w:val="en-AU"/>
        </w:rPr>
      </w:pPr>
      <w:r>
        <w:rPr>
          <w:rFonts w:eastAsia="Times New Roman" w:cs="Arial"/>
          <w:lang w:val="en-AU"/>
        </w:rPr>
        <w:t>General Condition 35.3 of the subcontract</w:t>
      </w:r>
      <w:r w:rsidR="005E7F56" w:rsidRPr="002A24F4">
        <w:rPr>
          <w:rFonts w:eastAsia="Times New Roman" w:cs="Arial"/>
          <w:lang w:val="en-AU"/>
        </w:rPr>
        <w:t xml:space="preserve"> </w:t>
      </w:r>
      <w:r>
        <w:rPr>
          <w:rFonts w:eastAsia="Times New Roman" w:cs="Arial"/>
          <w:lang w:val="en-AU"/>
        </w:rPr>
        <w:t>provided, relevantly, that:</w:t>
      </w:r>
    </w:p>
    <w:p w:rsidR="00DA3554" w:rsidRDefault="005D28D5" w:rsidP="00DF7CD2">
      <w:pPr>
        <w:pStyle w:val="ListParagraph"/>
        <w:numPr>
          <w:ilvl w:val="1"/>
          <w:numId w:val="7"/>
        </w:numPr>
        <w:spacing w:before="0" w:after="240"/>
        <w:ind w:left="720"/>
        <w:rPr>
          <w:rFonts w:eastAsia="Times New Roman" w:cs="Arial"/>
          <w:lang w:val="en-AU"/>
        </w:rPr>
      </w:pPr>
      <w:r w:rsidRPr="00DA3554">
        <w:rPr>
          <w:rFonts w:eastAsia="Times New Roman" w:cs="Arial"/>
          <w:lang w:val="en-AU"/>
        </w:rPr>
        <w:t xml:space="preserve">JKC </w:t>
      </w:r>
      <w:r w:rsidR="00DA3554" w:rsidRPr="00DA3554">
        <w:rPr>
          <w:rFonts w:eastAsia="Times New Roman" w:cs="Arial"/>
          <w:lang w:val="en-AU"/>
        </w:rPr>
        <w:t xml:space="preserve">could have recourse to </w:t>
      </w:r>
      <w:r w:rsidRPr="00DA3554">
        <w:rPr>
          <w:rFonts w:eastAsia="Times New Roman" w:cs="Arial"/>
          <w:lang w:val="en-AU"/>
        </w:rPr>
        <w:t>CPB’</w:t>
      </w:r>
      <w:r w:rsidR="00DA3554" w:rsidRPr="00DA3554">
        <w:rPr>
          <w:rFonts w:eastAsia="Times New Roman" w:cs="Arial"/>
          <w:lang w:val="en-AU"/>
        </w:rPr>
        <w:t>s</w:t>
      </w:r>
      <w:r w:rsidR="005E7F56" w:rsidRPr="00DA3554">
        <w:rPr>
          <w:rFonts w:eastAsia="Times New Roman" w:cs="Arial"/>
          <w:lang w:val="en-AU"/>
        </w:rPr>
        <w:t xml:space="preserve"> </w:t>
      </w:r>
      <w:r w:rsidRPr="00DA3554">
        <w:rPr>
          <w:rFonts w:eastAsia="Times New Roman" w:cs="Arial"/>
          <w:lang w:val="en-AU"/>
        </w:rPr>
        <w:t>bank g</w:t>
      </w:r>
      <w:r w:rsidR="005E7F56" w:rsidRPr="00DA3554">
        <w:rPr>
          <w:rFonts w:eastAsia="Times New Roman" w:cs="Arial"/>
          <w:lang w:val="en-AU"/>
        </w:rPr>
        <w:t>uara</w:t>
      </w:r>
      <w:r w:rsidR="00DA3554" w:rsidRPr="00DA3554">
        <w:rPr>
          <w:rFonts w:eastAsia="Times New Roman" w:cs="Arial"/>
          <w:lang w:val="en-AU"/>
        </w:rPr>
        <w:t xml:space="preserve">ntees at any time in order </w:t>
      </w:r>
      <w:r w:rsidR="005E7F56" w:rsidRPr="00DA3554">
        <w:rPr>
          <w:rFonts w:eastAsia="Times New Roman" w:cs="Arial"/>
          <w:lang w:val="en-AU"/>
        </w:rPr>
        <w:t xml:space="preserve">to recover any </w:t>
      </w:r>
      <w:r w:rsidR="005E7F56" w:rsidRPr="0098670F">
        <w:rPr>
          <w:rFonts w:eastAsia="Times New Roman" w:cs="Arial"/>
          <w:b/>
          <w:i/>
          <w:lang w:val="en-AU"/>
        </w:rPr>
        <w:t>amounts payable</w:t>
      </w:r>
      <w:r w:rsidR="005E7F56" w:rsidRPr="00DA3554">
        <w:rPr>
          <w:rFonts w:eastAsia="Times New Roman" w:cs="Arial"/>
          <w:lang w:val="en-AU"/>
        </w:rPr>
        <w:t xml:space="preserve"> by </w:t>
      </w:r>
      <w:r w:rsidRPr="00DA3554">
        <w:rPr>
          <w:rFonts w:eastAsia="Times New Roman" w:cs="Arial"/>
          <w:lang w:val="en-AU"/>
        </w:rPr>
        <w:t>CPB</w:t>
      </w:r>
      <w:r w:rsidR="005E7F56" w:rsidRPr="00DA3554">
        <w:rPr>
          <w:rFonts w:eastAsia="Times New Roman" w:cs="Arial"/>
          <w:lang w:val="en-AU"/>
        </w:rPr>
        <w:t xml:space="preserve"> to </w:t>
      </w:r>
      <w:r w:rsidR="00DA3554" w:rsidRPr="00DA3554">
        <w:rPr>
          <w:rFonts w:eastAsia="Times New Roman" w:cs="Arial"/>
          <w:lang w:val="en-AU"/>
        </w:rPr>
        <w:t>JKC</w:t>
      </w:r>
      <w:r w:rsidR="005E7F56" w:rsidRPr="00DA3554">
        <w:rPr>
          <w:rFonts w:eastAsia="Times New Roman" w:cs="Arial"/>
          <w:lang w:val="en-AU"/>
        </w:rPr>
        <w:t xml:space="preserve"> on </w:t>
      </w:r>
      <w:r w:rsidR="00DA3554" w:rsidRPr="00DA3554">
        <w:rPr>
          <w:rFonts w:eastAsia="Times New Roman" w:cs="Arial"/>
          <w:lang w:val="en-AU"/>
        </w:rPr>
        <w:t>demand; and</w:t>
      </w:r>
    </w:p>
    <w:p w:rsidR="005E7F56" w:rsidRPr="00DA3554" w:rsidRDefault="00DA3554" w:rsidP="00DF7CD2">
      <w:pPr>
        <w:pStyle w:val="ListParagraph"/>
        <w:numPr>
          <w:ilvl w:val="1"/>
          <w:numId w:val="7"/>
        </w:numPr>
        <w:spacing w:before="0" w:after="240"/>
        <w:ind w:left="720"/>
        <w:rPr>
          <w:rFonts w:eastAsia="Times New Roman" w:cs="Arial"/>
          <w:lang w:val="en-AU"/>
        </w:rPr>
      </w:pPr>
      <w:r>
        <w:rPr>
          <w:rFonts w:eastAsia="Times New Roman" w:cs="Arial"/>
          <w:lang w:val="en-AU"/>
        </w:rPr>
        <w:t>CPB waived</w:t>
      </w:r>
      <w:r w:rsidR="005E7F56" w:rsidRPr="00DA3554">
        <w:rPr>
          <w:rFonts w:eastAsia="Times New Roman" w:cs="Arial"/>
          <w:lang w:val="en-AU"/>
        </w:rPr>
        <w:t xml:space="preserve"> any right it </w:t>
      </w:r>
      <w:r>
        <w:rPr>
          <w:rFonts w:eastAsia="Times New Roman" w:cs="Arial"/>
          <w:lang w:val="en-AU"/>
        </w:rPr>
        <w:t>had</w:t>
      </w:r>
      <w:r w:rsidR="005E7F56" w:rsidRPr="00DA3554">
        <w:rPr>
          <w:rFonts w:eastAsia="Times New Roman" w:cs="Arial"/>
          <w:lang w:val="en-AU"/>
        </w:rPr>
        <w:t xml:space="preserve"> to obtain an injunction or any other remedy or right against </w:t>
      </w:r>
      <w:r>
        <w:rPr>
          <w:rFonts w:eastAsia="Times New Roman" w:cs="Arial"/>
          <w:lang w:val="en-AU"/>
        </w:rPr>
        <w:t>JKC</w:t>
      </w:r>
      <w:r w:rsidR="005E7F56" w:rsidRPr="00DA3554">
        <w:rPr>
          <w:rFonts w:eastAsia="Times New Roman" w:cs="Arial"/>
          <w:lang w:val="en-AU"/>
        </w:rPr>
        <w:t xml:space="preserve"> having recourse to the </w:t>
      </w:r>
      <w:r w:rsidRPr="00DA3554">
        <w:rPr>
          <w:rFonts w:eastAsia="Times New Roman" w:cs="Arial"/>
          <w:lang w:val="en-AU"/>
        </w:rPr>
        <w:t>bank guarantee</w:t>
      </w:r>
      <w:r>
        <w:rPr>
          <w:rFonts w:eastAsia="Times New Roman" w:cs="Arial"/>
          <w:lang w:val="en-AU"/>
        </w:rPr>
        <w:t>s</w:t>
      </w:r>
      <w:r w:rsidR="005E7F56" w:rsidRPr="00DA3554">
        <w:rPr>
          <w:rFonts w:eastAsia="Times New Roman" w:cs="Arial"/>
          <w:lang w:val="en-AU"/>
        </w:rPr>
        <w:t>.</w:t>
      </w:r>
    </w:p>
    <w:p w:rsidR="005E7F56" w:rsidRPr="002A24F4" w:rsidRDefault="00DA3554" w:rsidP="00DA3554">
      <w:pPr>
        <w:spacing w:before="0" w:after="240"/>
        <w:rPr>
          <w:rFonts w:eastAsia="Times New Roman" w:cs="Arial"/>
          <w:lang w:val="en-AU"/>
        </w:rPr>
      </w:pPr>
      <w:r>
        <w:rPr>
          <w:rFonts w:eastAsia="Times New Roman" w:cs="Arial"/>
          <w:lang w:val="en-AU"/>
        </w:rPr>
        <w:t>CPB</w:t>
      </w:r>
      <w:r w:rsidR="005E7F56" w:rsidRPr="002A24F4">
        <w:rPr>
          <w:rFonts w:eastAsia="Times New Roman" w:cs="Arial"/>
          <w:lang w:val="en-AU"/>
        </w:rPr>
        <w:t xml:space="preserve"> sought to </w:t>
      </w:r>
      <w:r w:rsidR="001B3E76">
        <w:rPr>
          <w:rFonts w:eastAsia="Times New Roman" w:cs="Arial"/>
          <w:lang w:val="en-AU"/>
        </w:rPr>
        <w:t>restrain JKC having</w:t>
      </w:r>
      <w:r w:rsidR="005E7F56" w:rsidRPr="002A24F4">
        <w:rPr>
          <w:rFonts w:eastAsia="Times New Roman" w:cs="Arial"/>
          <w:lang w:val="en-AU"/>
        </w:rPr>
        <w:t xml:space="preserve"> recourse on th</w:t>
      </w:r>
      <w:r w:rsidR="001B3E76">
        <w:rPr>
          <w:rFonts w:eastAsia="Times New Roman" w:cs="Arial"/>
          <w:lang w:val="en-AU"/>
        </w:rPr>
        <w:t>e basis that the word ‘payable’</w:t>
      </w:r>
      <w:r w:rsidR="005E7F56" w:rsidRPr="002A24F4">
        <w:rPr>
          <w:rFonts w:eastAsia="Times New Roman" w:cs="Arial"/>
          <w:lang w:val="en-AU"/>
        </w:rPr>
        <w:t xml:space="preserve"> required an objective determination of </w:t>
      </w:r>
      <w:r w:rsidR="001B3E76">
        <w:rPr>
          <w:rFonts w:eastAsia="Times New Roman" w:cs="Arial"/>
          <w:lang w:val="en-AU"/>
        </w:rPr>
        <w:t>JKC’s</w:t>
      </w:r>
      <w:r w:rsidR="005E7F56" w:rsidRPr="002A24F4">
        <w:rPr>
          <w:rFonts w:eastAsia="Times New Roman" w:cs="Arial"/>
          <w:lang w:val="en-AU"/>
        </w:rPr>
        <w:t xml:space="preserve"> claim pursuant to the dispute resol</w:t>
      </w:r>
      <w:r w:rsidR="005E7F56">
        <w:rPr>
          <w:rFonts w:eastAsia="Times New Roman" w:cs="Arial"/>
          <w:lang w:val="en-AU"/>
        </w:rPr>
        <w:t>ution mechanism in the contract (i</w:t>
      </w:r>
      <w:r w:rsidR="001B3E76">
        <w:rPr>
          <w:rFonts w:eastAsia="Times New Roman" w:cs="Arial"/>
          <w:lang w:val="en-AU"/>
        </w:rPr>
        <w:t>.</w:t>
      </w:r>
      <w:r w:rsidR="005E7F56">
        <w:rPr>
          <w:rFonts w:eastAsia="Times New Roman" w:cs="Arial"/>
          <w:lang w:val="en-AU"/>
        </w:rPr>
        <w:t>e</w:t>
      </w:r>
      <w:r w:rsidR="001B3E76">
        <w:rPr>
          <w:rFonts w:eastAsia="Times New Roman" w:cs="Arial"/>
          <w:lang w:val="en-AU"/>
        </w:rPr>
        <w:t>.</w:t>
      </w:r>
      <w:r w:rsidR="005E7F56">
        <w:rPr>
          <w:rFonts w:eastAsia="Times New Roman" w:cs="Arial"/>
          <w:lang w:val="en-AU"/>
        </w:rPr>
        <w:t xml:space="preserve"> was the sum in </w:t>
      </w:r>
      <w:r w:rsidR="005E7F56" w:rsidRPr="0098670F">
        <w:rPr>
          <w:rFonts w:eastAsia="Times New Roman" w:cs="Arial"/>
          <w:lang w:val="en-AU"/>
        </w:rPr>
        <w:t>fact</w:t>
      </w:r>
      <w:r w:rsidR="005E7F56">
        <w:rPr>
          <w:rFonts w:eastAsia="Times New Roman" w:cs="Arial"/>
          <w:lang w:val="en-AU"/>
        </w:rPr>
        <w:t xml:space="preserve"> payable, or just a claim for payment).</w:t>
      </w:r>
    </w:p>
    <w:p w:rsidR="005E7F56" w:rsidRPr="002A24F4" w:rsidRDefault="001B3E76" w:rsidP="00D578C0">
      <w:pPr>
        <w:spacing w:before="0" w:after="240"/>
        <w:rPr>
          <w:rFonts w:eastAsia="Times New Roman" w:cs="Arial"/>
          <w:lang w:val="en-AU"/>
        </w:rPr>
      </w:pPr>
      <w:r>
        <w:rPr>
          <w:rFonts w:eastAsia="Times New Roman" w:cs="Arial"/>
          <w:lang w:val="en-AU"/>
        </w:rPr>
        <w:t>T</w:t>
      </w:r>
      <w:r w:rsidR="005E7F56" w:rsidRPr="002A24F4">
        <w:rPr>
          <w:rFonts w:eastAsia="Times New Roman" w:cs="Arial"/>
          <w:lang w:val="en-AU"/>
        </w:rPr>
        <w:t xml:space="preserve">he </w:t>
      </w:r>
      <w:r>
        <w:rPr>
          <w:rFonts w:eastAsia="Times New Roman" w:cs="Arial"/>
          <w:lang w:val="en-AU"/>
        </w:rPr>
        <w:t xml:space="preserve">WA </w:t>
      </w:r>
      <w:r w:rsidR="005E7F56" w:rsidRPr="002A24F4">
        <w:rPr>
          <w:rFonts w:eastAsia="Times New Roman" w:cs="Arial"/>
          <w:lang w:val="en-AU"/>
        </w:rPr>
        <w:t xml:space="preserve">Court of Appeal held that, on the proper interpretation of GC 35.3(a), </w:t>
      </w:r>
      <w:r>
        <w:rPr>
          <w:rFonts w:eastAsia="Times New Roman" w:cs="Arial"/>
          <w:lang w:val="en-AU"/>
        </w:rPr>
        <w:t>JKC</w:t>
      </w:r>
      <w:r w:rsidR="005E7F56" w:rsidRPr="002A24F4">
        <w:rPr>
          <w:rFonts w:eastAsia="Times New Roman" w:cs="Arial"/>
          <w:lang w:val="en-AU"/>
        </w:rPr>
        <w:t xml:space="preserve"> was entitled to have recourse if</w:t>
      </w:r>
      <w:r>
        <w:rPr>
          <w:rFonts w:eastAsia="Times New Roman" w:cs="Arial"/>
          <w:lang w:val="en-AU"/>
        </w:rPr>
        <w:t>,</w:t>
      </w:r>
      <w:r w:rsidR="005E7F56" w:rsidRPr="002A24F4">
        <w:rPr>
          <w:rFonts w:eastAsia="Times New Roman" w:cs="Arial"/>
          <w:lang w:val="en-AU"/>
        </w:rPr>
        <w:t xml:space="preserve"> at any time</w:t>
      </w:r>
      <w:r>
        <w:rPr>
          <w:rFonts w:eastAsia="Times New Roman" w:cs="Arial"/>
          <w:lang w:val="en-AU"/>
        </w:rPr>
        <w:t>,</w:t>
      </w:r>
      <w:r w:rsidR="005E7F56" w:rsidRPr="002A24F4">
        <w:rPr>
          <w:rFonts w:eastAsia="Times New Roman" w:cs="Arial"/>
          <w:lang w:val="en-AU"/>
        </w:rPr>
        <w:t xml:space="preserve"> </w:t>
      </w:r>
      <w:r>
        <w:rPr>
          <w:rFonts w:eastAsia="Times New Roman" w:cs="Arial"/>
          <w:lang w:val="en-AU"/>
        </w:rPr>
        <w:t>it had an honest (bona fide) claim</w:t>
      </w:r>
      <w:r w:rsidR="005C45E4">
        <w:rPr>
          <w:rFonts w:eastAsia="Times New Roman" w:cs="Arial"/>
          <w:lang w:val="en-AU"/>
        </w:rPr>
        <w:t>,</w:t>
      </w:r>
      <w:r w:rsidR="005E7F56" w:rsidRPr="002A24F4">
        <w:rPr>
          <w:rFonts w:eastAsia="Times New Roman" w:cs="Arial"/>
          <w:lang w:val="en-AU"/>
        </w:rPr>
        <w:t xml:space="preserve"> in the events that had</w:t>
      </w:r>
      <w:r w:rsidR="005C45E4">
        <w:rPr>
          <w:rFonts w:eastAsia="Times New Roman" w:cs="Arial"/>
          <w:lang w:val="en-AU"/>
        </w:rPr>
        <w:t xml:space="preserve"> happened, to immediate payment</w:t>
      </w:r>
      <w:r w:rsidR="005E7F56" w:rsidRPr="002A24F4">
        <w:rPr>
          <w:rFonts w:eastAsia="Times New Roman" w:cs="Arial"/>
          <w:lang w:val="en-AU"/>
        </w:rPr>
        <w:t xml:space="preserve"> under the </w:t>
      </w:r>
      <w:r w:rsidR="005C45E4">
        <w:rPr>
          <w:rFonts w:eastAsia="Times New Roman" w:cs="Arial"/>
          <w:lang w:val="en-AU"/>
        </w:rPr>
        <w:t>sub</w:t>
      </w:r>
      <w:r w:rsidR="005E7F56" w:rsidRPr="002A24F4">
        <w:rPr>
          <w:rFonts w:eastAsia="Times New Roman" w:cs="Arial"/>
          <w:lang w:val="en-AU"/>
        </w:rPr>
        <w:t>contract.</w:t>
      </w:r>
      <w:r w:rsidR="005C45E4">
        <w:rPr>
          <w:rFonts w:eastAsia="Times New Roman" w:cs="Arial"/>
          <w:lang w:val="en-AU"/>
        </w:rPr>
        <w:t xml:space="preserve"> T</w:t>
      </w:r>
      <w:r w:rsidR="005E7F56" w:rsidRPr="002A24F4">
        <w:rPr>
          <w:rFonts w:eastAsia="Times New Roman" w:cs="Arial"/>
          <w:lang w:val="en-AU"/>
        </w:rPr>
        <w:t xml:space="preserve">he Court found that </w:t>
      </w:r>
      <w:r w:rsidR="005C45E4">
        <w:rPr>
          <w:rFonts w:eastAsia="Times New Roman" w:cs="Arial"/>
          <w:lang w:val="en-AU"/>
        </w:rPr>
        <w:t>CPB’s</w:t>
      </w:r>
      <w:r w:rsidR="005E7F56" w:rsidRPr="002A24F4">
        <w:rPr>
          <w:rFonts w:eastAsia="Times New Roman" w:cs="Arial"/>
          <w:lang w:val="en-AU"/>
        </w:rPr>
        <w:t xml:space="preserve"> interpretation would defeat the purpose of the guarantees being ‘on demand’. </w:t>
      </w:r>
      <w:r w:rsidR="009A54A6">
        <w:rPr>
          <w:rFonts w:eastAsia="Times New Roman" w:cs="Arial"/>
          <w:lang w:val="en-AU"/>
        </w:rPr>
        <w:t>It appeared</w:t>
      </w:r>
      <w:r w:rsidR="009A54A6" w:rsidRPr="00B055AC">
        <w:rPr>
          <w:vertAlign w:val="superscript"/>
        </w:rPr>
        <w:footnoteReference w:id="11"/>
      </w:r>
      <w:r w:rsidR="009A54A6" w:rsidRPr="004607A5">
        <w:rPr>
          <w:rFonts w:eastAsia="Times New Roman" w:cs="Arial"/>
          <w:lang w:val="en-AU"/>
        </w:rPr>
        <w:t xml:space="preserve"> to have been accepted before the Court of Appeal</w:t>
      </w:r>
      <w:r w:rsidR="009A54A6">
        <w:rPr>
          <w:rFonts w:eastAsia="Times New Roman" w:cs="Arial"/>
          <w:lang w:val="en-AU"/>
        </w:rPr>
        <w:t xml:space="preserve"> </w:t>
      </w:r>
      <w:r w:rsidR="009A54A6" w:rsidRPr="004607A5">
        <w:rPr>
          <w:rFonts w:eastAsia="Times New Roman" w:cs="Arial"/>
          <w:lang w:val="en-AU"/>
        </w:rPr>
        <w:t>that, in</w:t>
      </w:r>
      <w:r w:rsidR="009A54A6">
        <w:rPr>
          <w:rFonts w:eastAsia="Times New Roman" w:cs="Arial"/>
          <w:lang w:val="en-AU"/>
        </w:rPr>
        <w:t xml:space="preserve"> this case, the unconditional nature</w:t>
      </w:r>
      <w:r w:rsidR="009A54A6" w:rsidRPr="004607A5">
        <w:rPr>
          <w:rFonts w:eastAsia="Times New Roman" w:cs="Arial"/>
          <w:lang w:val="en-AU"/>
        </w:rPr>
        <w:t xml:space="preserve"> of the bank guarantees was a relevant consideration in the determination of what was meant by “payable”</w:t>
      </w:r>
      <w:r w:rsidR="009A54A6">
        <w:rPr>
          <w:rFonts w:eastAsia="Times New Roman" w:cs="Arial"/>
          <w:lang w:val="en-AU"/>
        </w:rPr>
        <w:t xml:space="preserve">. </w:t>
      </w:r>
      <w:r w:rsidR="005C45E4">
        <w:rPr>
          <w:rFonts w:eastAsia="Times New Roman" w:cs="Arial"/>
          <w:lang w:val="en-AU"/>
        </w:rPr>
        <w:t>Further</w:t>
      </w:r>
      <w:r w:rsidR="005E7F56" w:rsidRPr="002A24F4">
        <w:rPr>
          <w:rFonts w:eastAsia="Times New Roman" w:cs="Arial"/>
          <w:lang w:val="en-AU"/>
        </w:rPr>
        <w:t xml:space="preserve">, the Court observed that </w:t>
      </w:r>
      <w:r w:rsidR="00D578C0" w:rsidRPr="00D578C0">
        <w:rPr>
          <w:rFonts w:eastAsia="Times New Roman" w:cs="Arial"/>
          <w:lang w:val="en-AU"/>
        </w:rPr>
        <w:t>having regard to t</w:t>
      </w:r>
      <w:r w:rsidR="00D578C0">
        <w:rPr>
          <w:rFonts w:eastAsia="Times New Roman" w:cs="Arial"/>
          <w:lang w:val="en-AU"/>
        </w:rPr>
        <w:t>he terms and context of the sub</w:t>
      </w:r>
      <w:r w:rsidR="00D578C0" w:rsidRPr="00D578C0">
        <w:rPr>
          <w:rFonts w:eastAsia="Times New Roman" w:cs="Arial"/>
          <w:lang w:val="en-AU"/>
        </w:rPr>
        <w:t>contract, the circumstances in which recourse could be had to the bank guarantees assisted in the conclusion that a purpose of the ban</w:t>
      </w:r>
      <w:r w:rsidR="00D578C0">
        <w:rPr>
          <w:rFonts w:eastAsia="Times New Roman" w:cs="Arial"/>
          <w:lang w:val="en-AU"/>
        </w:rPr>
        <w:t>k guarantees was to ensure that</w:t>
      </w:r>
      <w:r w:rsidR="005E7F56" w:rsidRPr="002A24F4">
        <w:rPr>
          <w:rFonts w:eastAsia="Times New Roman" w:cs="Arial"/>
          <w:lang w:val="en-AU"/>
        </w:rPr>
        <w:t xml:space="preserve"> </w:t>
      </w:r>
      <w:r w:rsidR="005C45E4">
        <w:rPr>
          <w:rFonts w:eastAsia="Times New Roman" w:cs="Arial"/>
          <w:lang w:val="en-AU"/>
        </w:rPr>
        <w:t>JKC</w:t>
      </w:r>
      <w:r w:rsidR="005E7F56" w:rsidRPr="002A24F4">
        <w:rPr>
          <w:rFonts w:eastAsia="Times New Roman" w:cs="Arial"/>
          <w:lang w:val="en-AU"/>
        </w:rPr>
        <w:t xml:space="preserve"> to be </w:t>
      </w:r>
      <w:r w:rsidR="005C45E4">
        <w:rPr>
          <w:rFonts w:eastAsia="Times New Roman" w:cs="Arial"/>
          <w:lang w:val="en-AU"/>
        </w:rPr>
        <w:t>‘</w:t>
      </w:r>
      <w:r w:rsidR="005E7F56" w:rsidRPr="002A24F4">
        <w:rPr>
          <w:rFonts w:eastAsia="Times New Roman" w:cs="Arial"/>
          <w:lang w:val="en-AU"/>
        </w:rPr>
        <w:t>in the money</w:t>
      </w:r>
      <w:r w:rsidR="005C45E4">
        <w:rPr>
          <w:rFonts w:eastAsia="Times New Roman" w:cs="Arial"/>
          <w:lang w:val="en-AU"/>
        </w:rPr>
        <w:t>’</w:t>
      </w:r>
      <w:r w:rsidR="005E7F56" w:rsidRPr="002A24F4">
        <w:rPr>
          <w:rFonts w:eastAsia="Times New Roman" w:cs="Arial"/>
          <w:lang w:val="en-AU"/>
        </w:rPr>
        <w:t xml:space="preserve"> to the extent of the bank guarantees, pending resolution of any dispute</w:t>
      </w:r>
      <w:r w:rsidR="002D463F">
        <w:rPr>
          <w:rFonts w:eastAsia="Times New Roman" w:cs="Arial"/>
          <w:lang w:val="en-AU"/>
        </w:rPr>
        <w:t xml:space="preserve"> </w:t>
      </w:r>
      <w:r w:rsidR="002D463F" w:rsidRPr="002D463F">
        <w:rPr>
          <w:rFonts w:eastAsia="Times New Roman" w:cs="Arial"/>
          <w:lang w:val="en-AU"/>
        </w:rPr>
        <w:t>as to CPB’s liability for liquidated damages</w:t>
      </w:r>
      <w:r w:rsidR="002D463F">
        <w:rPr>
          <w:rFonts w:eastAsia="Times New Roman" w:cs="Arial"/>
          <w:lang w:val="en-AU"/>
        </w:rPr>
        <w:t>.</w:t>
      </w:r>
      <w:r w:rsidR="005E7F56" w:rsidRPr="002A24F4">
        <w:rPr>
          <w:rFonts w:eastAsia="Times New Roman" w:cs="Arial"/>
          <w:lang w:val="en-AU"/>
        </w:rPr>
        <w:t xml:space="preserve">  </w:t>
      </w:r>
    </w:p>
    <w:p w:rsidR="005E7F56" w:rsidRDefault="005E7F56" w:rsidP="00886E27">
      <w:pPr>
        <w:spacing w:before="0" w:after="240"/>
        <w:rPr>
          <w:rFonts w:eastAsia="Times New Roman" w:cs="Arial"/>
          <w:lang w:val="en-AU"/>
        </w:rPr>
      </w:pPr>
      <w:r w:rsidRPr="002A24F4">
        <w:rPr>
          <w:rFonts w:eastAsia="Times New Roman" w:cs="Arial"/>
          <w:lang w:val="en-AU"/>
        </w:rPr>
        <w:t xml:space="preserve">The Court also </w:t>
      </w:r>
      <w:r w:rsidR="005C45E4">
        <w:rPr>
          <w:rFonts w:eastAsia="Times New Roman" w:cs="Arial"/>
          <w:lang w:val="en-AU"/>
        </w:rPr>
        <w:t>held</w:t>
      </w:r>
      <w:r w:rsidR="00591E9E">
        <w:rPr>
          <w:rFonts w:eastAsia="Times New Roman" w:cs="Arial"/>
          <w:lang w:val="en-AU"/>
        </w:rPr>
        <w:t>,</w:t>
      </w:r>
      <w:r w:rsidRPr="002A24F4">
        <w:rPr>
          <w:rFonts w:eastAsia="Times New Roman" w:cs="Arial"/>
          <w:lang w:val="en-AU"/>
        </w:rPr>
        <w:t xml:space="preserve"> </w:t>
      </w:r>
      <w:r w:rsidR="005C45E4" w:rsidRPr="002A24F4">
        <w:rPr>
          <w:rFonts w:eastAsia="Times New Roman" w:cs="Arial"/>
          <w:lang w:val="en-AU"/>
        </w:rPr>
        <w:t>that on its proper construction</w:t>
      </w:r>
      <w:r w:rsidR="005C45E4">
        <w:rPr>
          <w:rFonts w:eastAsia="Times New Roman" w:cs="Arial"/>
          <w:lang w:val="en-AU"/>
        </w:rPr>
        <w:t>,</w:t>
      </w:r>
      <w:r w:rsidR="005C45E4" w:rsidRPr="002A24F4">
        <w:rPr>
          <w:rFonts w:eastAsia="Times New Roman" w:cs="Arial"/>
          <w:lang w:val="en-AU"/>
        </w:rPr>
        <w:t xml:space="preserve"> </w:t>
      </w:r>
      <w:r w:rsidR="005C45E4">
        <w:rPr>
          <w:rFonts w:eastAsia="Times New Roman" w:cs="Arial"/>
          <w:lang w:val="en-AU"/>
        </w:rPr>
        <w:t xml:space="preserve">GC 35.3(b) </w:t>
      </w:r>
      <w:r w:rsidRPr="002A24F4">
        <w:rPr>
          <w:rFonts w:eastAsia="Times New Roman" w:cs="Arial"/>
          <w:lang w:val="en-AU"/>
        </w:rPr>
        <w:t xml:space="preserve">operated as a waiver of </w:t>
      </w:r>
      <w:r w:rsidR="005C45E4">
        <w:rPr>
          <w:rFonts w:eastAsia="Times New Roman" w:cs="Arial"/>
          <w:lang w:val="en-AU"/>
        </w:rPr>
        <w:t>CPB’s</w:t>
      </w:r>
      <w:r w:rsidRPr="002A24F4">
        <w:rPr>
          <w:rFonts w:eastAsia="Times New Roman" w:cs="Arial"/>
          <w:lang w:val="en-AU"/>
        </w:rPr>
        <w:t xml:space="preserve"> right to relief </w:t>
      </w:r>
      <w:r w:rsidR="005C45E4">
        <w:rPr>
          <w:rFonts w:eastAsia="Times New Roman" w:cs="Arial"/>
          <w:lang w:val="en-AU"/>
        </w:rPr>
        <w:t>against</w:t>
      </w:r>
      <w:r w:rsidRPr="002A24F4">
        <w:rPr>
          <w:rFonts w:eastAsia="Times New Roman" w:cs="Arial"/>
          <w:lang w:val="en-AU"/>
        </w:rPr>
        <w:t xml:space="preserve"> prospective recourse to the </w:t>
      </w:r>
      <w:r w:rsidR="005C45E4" w:rsidRPr="002A24F4">
        <w:rPr>
          <w:rFonts w:eastAsia="Times New Roman" w:cs="Arial"/>
          <w:lang w:val="en-AU"/>
        </w:rPr>
        <w:t>bank guarantees</w:t>
      </w:r>
      <w:r w:rsidR="00D578C0">
        <w:rPr>
          <w:rFonts w:eastAsia="Times New Roman" w:cs="Arial"/>
          <w:lang w:val="en-AU"/>
        </w:rPr>
        <w:t xml:space="preserve"> </w:t>
      </w:r>
      <w:r w:rsidR="00591E9E">
        <w:rPr>
          <w:rFonts w:eastAsia="Times New Roman" w:cs="Arial"/>
          <w:lang w:val="en-AU"/>
        </w:rPr>
        <w:t>and</w:t>
      </w:r>
      <w:r w:rsidRPr="002A24F4">
        <w:rPr>
          <w:rFonts w:eastAsia="Times New Roman" w:cs="Arial"/>
          <w:lang w:val="en-AU"/>
        </w:rPr>
        <w:t xml:space="preserve"> </w:t>
      </w:r>
      <w:r w:rsidR="005C45E4">
        <w:rPr>
          <w:rFonts w:eastAsia="Times New Roman" w:cs="Arial"/>
          <w:lang w:val="en-AU"/>
        </w:rPr>
        <w:lastRenderedPageBreak/>
        <w:t>considered</w:t>
      </w:r>
      <w:r w:rsidRPr="002A24F4">
        <w:rPr>
          <w:rFonts w:eastAsia="Times New Roman" w:cs="Arial"/>
          <w:lang w:val="en-AU"/>
        </w:rPr>
        <w:t xml:space="preserve"> it unnecessary to determine </w:t>
      </w:r>
      <w:r w:rsidR="005C45E4">
        <w:rPr>
          <w:rFonts w:eastAsia="Times New Roman" w:cs="Arial"/>
          <w:lang w:val="en-AU"/>
        </w:rPr>
        <w:t>whether</w:t>
      </w:r>
      <w:r w:rsidRPr="002A24F4">
        <w:rPr>
          <w:rFonts w:eastAsia="Times New Roman" w:cs="Arial"/>
          <w:lang w:val="en-AU"/>
        </w:rPr>
        <w:t xml:space="preserve"> the clause was an ouster of the Court’s jurisdiction</w:t>
      </w:r>
      <w:r w:rsidR="00591E9E">
        <w:rPr>
          <w:rFonts w:eastAsia="Times New Roman" w:cs="Arial"/>
          <w:lang w:val="en-AU"/>
        </w:rPr>
        <w:t>.</w:t>
      </w:r>
    </w:p>
    <w:p w:rsidR="00AC0DDC" w:rsidRPr="00AC0DDC" w:rsidRDefault="001D06B0" w:rsidP="00AC0DDC">
      <w:pPr>
        <w:spacing w:after="240"/>
        <w:rPr>
          <w:lang w:val="en-AU"/>
        </w:rPr>
      </w:pPr>
      <w:r>
        <w:t xml:space="preserve">CPB applied </w:t>
      </w:r>
      <w:r w:rsidR="00AE3B63">
        <w:t xml:space="preserve">to the High Court </w:t>
      </w:r>
      <w:r>
        <w:t xml:space="preserve">for </w:t>
      </w:r>
      <w:r w:rsidR="00AE3B63">
        <w:t>an interim injunction</w:t>
      </w:r>
      <w:r>
        <w:t xml:space="preserve">. </w:t>
      </w:r>
      <w:r w:rsidR="00A37561">
        <w:t xml:space="preserve">In refusing the application, </w:t>
      </w:r>
      <w:r>
        <w:t xml:space="preserve">Nettle </w:t>
      </w:r>
      <w:r w:rsidR="00A37561">
        <w:t>ACJ opined,</w:t>
      </w:r>
      <w:r w:rsidR="00AC0DDC">
        <w:t xml:space="preserve"> albeit on a ‘necessarily </w:t>
      </w:r>
      <w:r w:rsidR="00AC0DDC" w:rsidRPr="00AC0DDC">
        <w:rPr>
          <w:lang w:val="en-AU"/>
        </w:rPr>
        <w:t>preliminary and at best tentative</w:t>
      </w:r>
      <w:r w:rsidR="00AC0DDC">
        <w:rPr>
          <w:lang w:val="en-AU"/>
        </w:rPr>
        <w:t>’ basis, that:</w:t>
      </w:r>
      <w:r w:rsidR="00AC0DDC">
        <w:rPr>
          <w:rStyle w:val="FootnoteReference"/>
        </w:rPr>
        <w:footnoteReference w:id="12"/>
      </w:r>
    </w:p>
    <w:p w:rsidR="00AC0DDC" w:rsidRDefault="00FB13B2" w:rsidP="00FB13B2">
      <w:pPr>
        <w:pStyle w:val="Quote"/>
        <w:rPr>
          <w:lang w:val="en-AU"/>
        </w:rPr>
      </w:pPr>
      <w:r>
        <w:rPr>
          <w:lang w:val="en-AU"/>
        </w:rPr>
        <w:t>“…</w:t>
      </w:r>
      <w:r w:rsidR="00AC0DDC" w:rsidRPr="00AC0DDC">
        <w:rPr>
          <w:lang w:val="en-AU"/>
        </w:rPr>
        <w:t>the principles applicable to the construction of bank guarantees are well established</w:t>
      </w:r>
      <w:r w:rsidR="00755DDB">
        <w:rPr>
          <w:rStyle w:val="FootnoteReference"/>
          <w:lang w:val="en-AU"/>
        </w:rPr>
        <w:footnoteReference w:id="13"/>
      </w:r>
      <w:r w:rsidR="00AC0DDC" w:rsidRPr="00AC0DDC">
        <w:rPr>
          <w:lang w:val="en-AU"/>
        </w:rPr>
        <w:t xml:space="preserve"> and, subject to one possible exception </w:t>
      </w:r>
      <w:r>
        <w:rPr>
          <w:lang w:val="en-AU"/>
        </w:rPr>
        <w:t>…</w:t>
      </w:r>
      <w:r w:rsidR="00AC0DDC" w:rsidRPr="00AC0DDC">
        <w:rPr>
          <w:lang w:val="en-AU"/>
        </w:rPr>
        <w:t xml:space="preserve"> the reasoning and conclusions of the Court of Appeal accord close</w:t>
      </w:r>
      <w:r>
        <w:rPr>
          <w:lang w:val="en-AU"/>
        </w:rPr>
        <w:t>ly with the weight of authority</w:t>
      </w:r>
      <w:r w:rsidR="00760914">
        <w:rPr>
          <w:lang w:val="en-AU"/>
        </w:rPr>
        <w:t>.”</w:t>
      </w:r>
    </w:p>
    <w:p w:rsidR="00760914" w:rsidRPr="00760914" w:rsidRDefault="00760914" w:rsidP="00760914">
      <w:pPr>
        <w:rPr>
          <w:lang w:val="en-AU"/>
        </w:rPr>
      </w:pPr>
      <w:r>
        <w:rPr>
          <w:lang w:val="en-AU"/>
        </w:rPr>
        <w:t>The exception to which his Honour referred concerned</w:t>
      </w:r>
      <w:r w:rsidRPr="00760914">
        <w:rPr>
          <w:lang w:val="en-AU"/>
        </w:rPr>
        <w:t xml:space="preserve"> </w:t>
      </w:r>
      <w:r w:rsidR="000F3000">
        <w:rPr>
          <w:lang w:val="en-AU"/>
        </w:rPr>
        <w:t xml:space="preserve">the </w:t>
      </w:r>
      <w:r w:rsidRPr="00760914">
        <w:rPr>
          <w:lang w:val="en-AU"/>
        </w:rPr>
        <w:t xml:space="preserve">views </w:t>
      </w:r>
      <w:r w:rsidR="000F3000">
        <w:rPr>
          <w:lang w:val="en-AU"/>
        </w:rPr>
        <w:t>of</w:t>
      </w:r>
      <w:r w:rsidRPr="00760914">
        <w:rPr>
          <w:lang w:val="en-AU"/>
        </w:rPr>
        <w:t xml:space="preserve"> </w:t>
      </w:r>
      <w:proofErr w:type="spellStart"/>
      <w:r w:rsidRPr="00760914">
        <w:rPr>
          <w:lang w:val="en-AU"/>
        </w:rPr>
        <w:t>Macfarlan</w:t>
      </w:r>
      <w:proofErr w:type="spellEnd"/>
      <w:r w:rsidRPr="00760914">
        <w:rPr>
          <w:lang w:val="en-AU"/>
        </w:rPr>
        <w:t xml:space="preserve"> JA (with whom Campbell JA relevantly agreed) in </w:t>
      </w:r>
      <w:r w:rsidRPr="00760914">
        <w:rPr>
          <w:i/>
          <w:iCs/>
          <w:lang w:val="en-AU"/>
        </w:rPr>
        <w:t xml:space="preserve">Lucas Stuart Pty Ltd v </w:t>
      </w:r>
      <w:proofErr w:type="spellStart"/>
      <w:r w:rsidRPr="00760914">
        <w:rPr>
          <w:i/>
          <w:iCs/>
          <w:lang w:val="en-AU"/>
        </w:rPr>
        <w:t>Hemmes</w:t>
      </w:r>
      <w:proofErr w:type="spellEnd"/>
      <w:r w:rsidRPr="00760914">
        <w:rPr>
          <w:i/>
          <w:iCs/>
          <w:lang w:val="en-AU"/>
        </w:rPr>
        <w:t xml:space="preserve"> Hermitage Pty Ltd</w:t>
      </w:r>
      <w:r>
        <w:rPr>
          <w:lang w:val="en-AU"/>
        </w:rPr>
        <w:t xml:space="preserve"> </w:t>
      </w:r>
      <w:r w:rsidRPr="00760914">
        <w:rPr>
          <w:lang w:val="en-AU"/>
        </w:rPr>
        <w:t xml:space="preserve">as to whether the fact that a bank guarantee is “unconditional” (in the sense that the issuer of the bank guarantee is obliged to pay without argument as to the underlying liability under the construction contract) is or may be an indication that amounts “payable” under the construction contract are permitted to be claimed under the bank guarantee notwithstanding that the underlying liability under the construction contract is bona fide disputed. </w:t>
      </w:r>
      <w:proofErr w:type="spellStart"/>
      <w:r w:rsidRPr="00760914">
        <w:rPr>
          <w:lang w:val="en-AU"/>
        </w:rPr>
        <w:t>Macfarlan</w:t>
      </w:r>
      <w:proofErr w:type="spellEnd"/>
      <w:r w:rsidRPr="00760914">
        <w:rPr>
          <w:lang w:val="en-AU"/>
        </w:rPr>
        <w:t xml:space="preserve"> JA stated</w:t>
      </w:r>
      <w:r w:rsidR="001C5AC8">
        <w:rPr>
          <w:lang w:val="en-AU"/>
        </w:rPr>
        <w:t xml:space="preserve"> </w:t>
      </w:r>
      <w:r w:rsidRPr="00760914">
        <w:rPr>
          <w:lang w:val="en-AU"/>
        </w:rPr>
        <w:t>that, contrary to the approach in </w:t>
      </w:r>
      <w:r w:rsidRPr="00760914">
        <w:rPr>
          <w:i/>
          <w:iCs/>
          <w:lang w:val="en-AU"/>
        </w:rPr>
        <w:t>Clough</w:t>
      </w:r>
      <w:r w:rsidRPr="00760914">
        <w:rPr>
          <w:lang w:val="en-AU"/>
        </w:rPr>
        <w:t xml:space="preserve"> and cases which have </w:t>
      </w:r>
      <w:r w:rsidR="001C5AC8">
        <w:rPr>
          <w:lang w:val="en-AU"/>
        </w:rPr>
        <w:t xml:space="preserve">followed it, it was not obvious </w:t>
      </w:r>
      <w:r w:rsidRPr="00760914">
        <w:rPr>
          <w:lang w:val="en-AU"/>
        </w:rPr>
        <w:t>why the terms of the guarantee given by the issuer should have been regarded as affecting</w:t>
      </w:r>
      <w:r w:rsidR="001C5AC8">
        <w:rPr>
          <w:lang w:val="en-AU"/>
        </w:rPr>
        <w:t xml:space="preserve"> the proper construction of the</w:t>
      </w:r>
      <w:r w:rsidRPr="00760914">
        <w:rPr>
          <w:lang w:val="en-AU"/>
        </w:rPr>
        <w:t xml:space="preserve"> provision which related to the circumstances in which the Principal was en</w:t>
      </w:r>
      <w:r w:rsidR="001C5AC8">
        <w:rPr>
          <w:lang w:val="en-AU"/>
        </w:rPr>
        <w:t>titled to call on the guarantee</w:t>
      </w:r>
      <w:r w:rsidRPr="00760914">
        <w:rPr>
          <w:lang w:val="en-AU"/>
        </w:rPr>
        <w:t>.</w:t>
      </w:r>
      <w:r w:rsidR="00C12F39">
        <w:rPr>
          <w:lang w:val="en-AU"/>
        </w:rPr>
        <w:t xml:space="preserve"> </w:t>
      </w:r>
    </w:p>
    <w:p w:rsidR="00B055AC" w:rsidRDefault="00760914" w:rsidP="00C12F39">
      <w:pPr>
        <w:rPr>
          <w:lang w:val="en-AU"/>
        </w:rPr>
      </w:pPr>
      <w:r w:rsidRPr="00760914">
        <w:rPr>
          <w:lang w:val="en-AU"/>
        </w:rPr>
        <w:t>Counsel for CPB submitted that the difference in approach between </w:t>
      </w:r>
      <w:r w:rsidRPr="00760914">
        <w:rPr>
          <w:i/>
          <w:iCs/>
          <w:lang w:val="en-AU"/>
        </w:rPr>
        <w:t>Clough</w:t>
      </w:r>
      <w:r w:rsidRPr="00760914">
        <w:rPr>
          <w:lang w:val="en-AU"/>
        </w:rPr>
        <w:t> and the cases which have followed and applied it, and </w:t>
      </w:r>
      <w:r w:rsidRPr="00760914">
        <w:rPr>
          <w:i/>
          <w:iCs/>
          <w:lang w:val="en-AU"/>
        </w:rPr>
        <w:t>Lucas Stuart</w:t>
      </w:r>
      <w:r w:rsidR="00C12F39">
        <w:rPr>
          <w:lang w:val="en-AU"/>
        </w:rPr>
        <w:t>, raised</w:t>
      </w:r>
      <w:r w:rsidRPr="00760914">
        <w:rPr>
          <w:lang w:val="en-AU"/>
        </w:rPr>
        <w:t xml:space="preserve"> a point of principle of general importance that </w:t>
      </w:r>
      <w:r w:rsidR="00C12F39">
        <w:rPr>
          <w:lang w:val="en-AU"/>
        </w:rPr>
        <w:t>was</w:t>
      </w:r>
      <w:r w:rsidRPr="00760914">
        <w:rPr>
          <w:lang w:val="en-AU"/>
        </w:rPr>
        <w:t xml:space="preserve"> in t</w:t>
      </w:r>
      <w:r w:rsidR="00C12F39">
        <w:rPr>
          <w:lang w:val="en-AU"/>
        </w:rPr>
        <w:t>he interests of justice for the High</w:t>
      </w:r>
      <w:r w:rsidRPr="00760914">
        <w:rPr>
          <w:lang w:val="en-AU"/>
        </w:rPr>
        <w:t xml:space="preserve"> Court to consider.</w:t>
      </w:r>
      <w:r w:rsidR="00C12F39">
        <w:rPr>
          <w:lang w:val="en-AU"/>
        </w:rPr>
        <w:t xml:space="preserve"> </w:t>
      </w:r>
      <w:r w:rsidR="00AE3B63">
        <w:rPr>
          <w:lang w:val="en-AU"/>
        </w:rPr>
        <w:t xml:space="preserve">That, according to </w:t>
      </w:r>
      <w:r w:rsidR="00C12F39">
        <w:rPr>
          <w:lang w:val="en-AU"/>
        </w:rPr>
        <w:t>Nettle ACJ</w:t>
      </w:r>
      <w:r w:rsidR="00AE3B63">
        <w:rPr>
          <w:lang w:val="en-AU"/>
        </w:rPr>
        <w:t>,</w:t>
      </w:r>
      <w:r w:rsidRPr="00760914">
        <w:rPr>
          <w:lang w:val="en-AU"/>
        </w:rPr>
        <w:t xml:space="preserve"> </w:t>
      </w:r>
      <w:r w:rsidR="00AE3B63">
        <w:rPr>
          <w:lang w:val="en-AU"/>
        </w:rPr>
        <w:t>was a matter for</w:t>
      </w:r>
      <w:r w:rsidRPr="00760914">
        <w:rPr>
          <w:lang w:val="en-AU"/>
        </w:rPr>
        <w:t xml:space="preserve"> the panel </w:t>
      </w:r>
      <w:r w:rsidR="00AE3B63">
        <w:rPr>
          <w:lang w:val="en-AU"/>
        </w:rPr>
        <w:t>determining</w:t>
      </w:r>
      <w:r w:rsidRPr="00760914">
        <w:rPr>
          <w:lang w:val="en-AU"/>
        </w:rPr>
        <w:t xml:space="preserve"> the application for special leave to decide. But </w:t>
      </w:r>
      <w:r w:rsidR="00AE3B63">
        <w:rPr>
          <w:lang w:val="en-AU"/>
        </w:rPr>
        <w:t xml:space="preserve">his Honour </w:t>
      </w:r>
      <w:r w:rsidRPr="00760914">
        <w:rPr>
          <w:lang w:val="en-AU"/>
        </w:rPr>
        <w:t>observe</w:t>
      </w:r>
      <w:r w:rsidR="00AE3B63">
        <w:rPr>
          <w:lang w:val="en-AU"/>
        </w:rPr>
        <w:t>d</w:t>
      </w:r>
      <w:r w:rsidRPr="00760914">
        <w:rPr>
          <w:lang w:val="en-AU"/>
        </w:rPr>
        <w:t xml:space="preserve"> that a</w:t>
      </w:r>
      <w:r w:rsidR="00B055AC">
        <w:rPr>
          <w:lang w:val="en-AU"/>
        </w:rPr>
        <w:t>:</w:t>
      </w:r>
    </w:p>
    <w:p w:rsidR="00760914" w:rsidRPr="00760914" w:rsidRDefault="00B055AC" w:rsidP="00B055AC">
      <w:pPr>
        <w:pStyle w:val="Quote"/>
        <w:rPr>
          <w:lang w:val="en-AU"/>
        </w:rPr>
      </w:pPr>
      <w:r>
        <w:rPr>
          <w:lang w:val="en-AU"/>
        </w:rPr>
        <w:t>“…</w:t>
      </w:r>
      <w:r w:rsidR="00760914" w:rsidRPr="00760914">
        <w:rPr>
          <w:lang w:val="en-AU"/>
        </w:rPr>
        <w:t xml:space="preserve"> possible difficulty with the point is that it appears to have been accepted before the Court of Appeal</w:t>
      </w:r>
      <w:r>
        <w:rPr>
          <w:lang w:val="en-AU"/>
        </w:rPr>
        <w:t xml:space="preserve"> </w:t>
      </w:r>
      <w:r w:rsidR="00760914" w:rsidRPr="00760914">
        <w:rPr>
          <w:lang w:val="en-AU"/>
        </w:rPr>
        <w:t xml:space="preserve">that, in this case, the </w:t>
      </w:r>
      <w:proofErr w:type="spellStart"/>
      <w:r w:rsidR="00760914" w:rsidRPr="00760914">
        <w:rPr>
          <w:lang w:val="en-AU"/>
        </w:rPr>
        <w:t>unconditionality</w:t>
      </w:r>
      <w:proofErr w:type="spellEnd"/>
      <w:r w:rsidR="00760914" w:rsidRPr="00760914">
        <w:rPr>
          <w:lang w:val="en-AU"/>
        </w:rPr>
        <w:t xml:space="preserve"> of the bank guarantees was a relevant consideration in the determination of what was meant by “payable” in clause 35.3(a) of the sub-contract.</w:t>
      </w:r>
      <w:r>
        <w:rPr>
          <w:lang w:val="en-AU"/>
        </w:rPr>
        <w:t>”</w:t>
      </w:r>
    </w:p>
    <w:p w:rsidR="00D627E3" w:rsidRPr="0065285E" w:rsidRDefault="00D627E3" w:rsidP="00886E27">
      <w:pPr>
        <w:pStyle w:val="Heading1"/>
        <w:spacing w:after="240"/>
        <w:rPr>
          <w:lang w:val="en-AU"/>
        </w:rPr>
      </w:pPr>
      <w:r w:rsidRPr="00D91793">
        <w:rPr>
          <w:i/>
        </w:rPr>
        <w:lastRenderedPageBreak/>
        <w:t>Kawasaki Heavy Industries v Ltd v Laing O’Rourke Australia Construction Pty Ltd</w:t>
      </w:r>
      <w:r w:rsidRPr="00B04BF7">
        <w:t xml:space="preserve"> [2017] NSWCA 291</w:t>
      </w:r>
      <w:r w:rsidR="0065285E">
        <w:t xml:space="preserve"> </w:t>
      </w:r>
      <w:r w:rsidR="0065285E" w:rsidRPr="0065285E">
        <w:rPr>
          <w:lang w:val="en-AU"/>
        </w:rPr>
        <w:t>(17 November 2017)</w:t>
      </w:r>
    </w:p>
    <w:p w:rsidR="00D91793" w:rsidRPr="00D91793" w:rsidRDefault="00D91793" w:rsidP="00D91793">
      <w:pPr>
        <w:spacing w:after="240"/>
        <w:rPr>
          <w:lang w:val="en-AU"/>
        </w:rPr>
      </w:pPr>
      <w:r w:rsidRPr="00D91793">
        <w:rPr>
          <w:bCs/>
          <w:lang w:val="en-AU"/>
        </w:rPr>
        <w:t>Kawasaki</w:t>
      </w:r>
      <w:r w:rsidRPr="00D91793">
        <w:rPr>
          <w:lang w:val="en-AU"/>
        </w:rPr>
        <w:t xml:space="preserve"> and </w:t>
      </w:r>
      <w:r w:rsidRPr="00D91793">
        <w:rPr>
          <w:bCs/>
          <w:lang w:val="en-AU"/>
        </w:rPr>
        <w:t>Laing O’Rourke</w:t>
      </w:r>
      <w:r>
        <w:rPr>
          <w:lang w:val="en-AU"/>
        </w:rPr>
        <w:t xml:space="preserve"> we</w:t>
      </w:r>
      <w:r w:rsidRPr="00D91793">
        <w:rPr>
          <w:lang w:val="en-AU"/>
        </w:rPr>
        <w:t xml:space="preserve">re parties to a </w:t>
      </w:r>
      <w:r w:rsidR="00EE2534">
        <w:rPr>
          <w:lang w:val="en-AU"/>
        </w:rPr>
        <w:t>sub</w:t>
      </w:r>
      <w:r w:rsidRPr="00D91793">
        <w:rPr>
          <w:lang w:val="en-AU"/>
        </w:rPr>
        <w:t xml:space="preserve">contract </w:t>
      </w:r>
      <w:r w:rsidR="00EE2534">
        <w:rPr>
          <w:lang w:val="en-AU"/>
        </w:rPr>
        <w:t xml:space="preserve">to </w:t>
      </w:r>
      <w:r w:rsidR="00EE2534" w:rsidRPr="00D91793">
        <w:rPr>
          <w:lang w:val="en-AU"/>
        </w:rPr>
        <w:t>provide project services to JKC</w:t>
      </w:r>
      <w:r w:rsidRPr="00D91793">
        <w:rPr>
          <w:lang w:val="en-AU"/>
        </w:rPr>
        <w:t>, the head contractor of a cryogenic tank project near Darwin</w:t>
      </w:r>
      <w:r>
        <w:rPr>
          <w:lang w:val="en-AU"/>
        </w:rPr>
        <w:t xml:space="preserve">. </w:t>
      </w:r>
      <w:r w:rsidR="00EE2534">
        <w:rPr>
          <w:lang w:val="en-AU"/>
        </w:rPr>
        <w:t>The s</w:t>
      </w:r>
      <w:r w:rsidRPr="00D91793">
        <w:rPr>
          <w:lang w:val="en-AU"/>
        </w:rPr>
        <w:t>ubcontract required Kawasaki and Laing O’Rourke to provide performance bonds and advance payment bonds to JKC.</w:t>
      </w:r>
    </w:p>
    <w:p w:rsidR="00D627E3" w:rsidRPr="00C74DBE" w:rsidRDefault="00D627E3" w:rsidP="00886E27">
      <w:pPr>
        <w:spacing w:after="240"/>
      </w:pPr>
      <w:r>
        <w:t xml:space="preserve">Kawasaki and Laing O’Rourke entered </w:t>
      </w:r>
      <w:r w:rsidR="00607FEC">
        <w:t>into a consortium a</w:t>
      </w:r>
      <w:r>
        <w:t>greement, which outlined each party's scope of works under the Subcontract. Kawasaki agreed to take responsibility for providing the performance and advance payment bonds to JKC, and Laing O’Rourke agreed to provide surety bonds to Kawasaki. The parties agreed that all disputes would be determined by international arbitration in Singapore, but interlocutory relief could be sought from a court of competent jurisdiction. By a third agreement, Laing O’Rourke agreed to perform some of the work allocated to Kawasaki by the consortium agreement.</w:t>
      </w:r>
    </w:p>
    <w:p w:rsidR="00724163" w:rsidRDefault="00607FEC" w:rsidP="00886E27">
      <w:pPr>
        <w:spacing w:after="240"/>
      </w:pPr>
      <w:r>
        <w:t>A</w:t>
      </w:r>
      <w:r w:rsidRPr="00C74DBE">
        <w:t>fter significant delays in the completion of the cryogenic tank project</w:t>
      </w:r>
      <w:r>
        <w:t>,</w:t>
      </w:r>
      <w:r w:rsidRPr="00C74DBE">
        <w:t xml:space="preserve"> </w:t>
      </w:r>
      <w:r>
        <w:t>a</w:t>
      </w:r>
      <w:r w:rsidR="00D627E3" w:rsidRPr="00C74DBE">
        <w:t xml:space="preserve"> dispute </w:t>
      </w:r>
      <w:r w:rsidRPr="00C74DBE">
        <w:t xml:space="preserve">arose </w:t>
      </w:r>
      <w:r w:rsidR="00D627E3" w:rsidRPr="00C74DBE">
        <w:t>between the subcontractors. While JKC asserted an entitlement to damages from the subcontractors, i</w:t>
      </w:r>
      <w:r w:rsidR="00724163">
        <w:t>t did not call on the Kawasaki b</w:t>
      </w:r>
      <w:r w:rsidR="00D627E3" w:rsidRPr="00C74DBE">
        <w:t xml:space="preserve">onds. </w:t>
      </w:r>
      <w:r w:rsidR="00D627E3">
        <w:t xml:space="preserve">However, </w:t>
      </w:r>
      <w:r w:rsidR="00D627E3" w:rsidRPr="00C74DBE">
        <w:t xml:space="preserve">Kawasaki made a call on the surety bonds issued in its </w:t>
      </w:r>
      <w:proofErr w:type="spellStart"/>
      <w:r w:rsidR="00D627E3" w:rsidRPr="00C74DBE">
        <w:t>favour</w:t>
      </w:r>
      <w:proofErr w:type="spellEnd"/>
      <w:r w:rsidR="00D627E3" w:rsidRPr="00C74DBE">
        <w:t xml:space="preserve">. </w:t>
      </w:r>
      <w:r w:rsidR="00D627E3">
        <w:t>Laing O’Rourke</w:t>
      </w:r>
      <w:r w:rsidR="00D627E3" w:rsidRPr="00C74DBE">
        <w:t xml:space="preserve"> sought to restrain Kawasaki from calling on the bonds, on the basis that there was a serious question to be tried about whether Kawasaki was entitled to call on the bonds when JKC had not yet called on the</w:t>
      </w:r>
      <w:r w:rsidR="00D627E3">
        <w:t xml:space="preserve"> </w:t>
      </w:r>
      <w:r w:rsidR="00D627E3" w:rsidRPr="00C74DBE">
        <w:t>corresponding b</w:t>
      </w:r>
      <w:r w:rsidR="00724163">
        <w:t>onds provided under the s</w:t>
      </w:r>
      <w:r w:rsidR="00D627E3" w:rsidRPr="00C74DBE">
        <w:t xml:space="preserve">ubcontract. </w:t>
      </w:r>
    </w:p>
    <w:p w:rsidR="00724163" w:rsidRDefault="00D627E3" w:rsidP="00886E27">
      <w:pPr>
        <w:spacing w:after="240"/>
      </w:pPr>
      <w:r>
        <w:t>At first instance</w:t>
      </w:r>
      <w:r w:rsidR="00724163">
        <w:t>,</w:t>
      </w:r>
      <w:r>
        <w:t xml:space="preserve"> </w:t>
      </w:r>
      <w:r w:rsidRPr="00ED558F">
        <w:t xml:space="preserve">Ball J granted Laing O’Rourke an ex parte injunction preventing Kawasaki from calling on the bonds. Kawasaki applied to discharge the interlocutory injunction. </w:t>
      </w:r>
    </w:p>
    <w:p w:rsidR="00D627E3" w:rsidRPr="00C74DBE" w:rsidRDefault="00D627E3" w:rsidP="00886E27">
      <w:pPr>
        <w:spacing w:after="240"/>
      </w:pPr>
      <w:r>
        <w:t xml:space="preserve">On </w:t>
      </w:r>
      <w:r w:rsidR="00A62FD2">
        <w:t xml:space="preserve">the </w:t>
      </w:r>
      <w:r>
        <w:t xml:space="preserve">return of the injunction, </w:t>
      </w:r>
      <w:r w:rsidRPr="00ED558F">
        <w:t xml:space="preserve">Stevenson J found that the balance of convenience </w:t>
      </w:r>
      <w:proofErr w:type="spellStart"/>
      <w:r w:rsidRPr="00ED558F">
        <w:t>favoured</w:t>
      </w:r>
      <w:proofErr w:type="spellEnd"/>
      <w:r w:rsidRPr="00ED558F">
        <w:t xml:space="preserve"> continuation</w:t>
      </w:r>
      <w:r w:rsidR="00724163">
        <w:t>,</w:t>
      </w:r>
      <w:r w:rsidRPr="00ED558F">
        <w:t xml:space="preserve"> on the basis that there was a serious question to be tried. Kawasaki appealed.</w:t>
      </w:r>
    </w:p>
    <w:p w:rsidR="00A959E7" w:rsidRDefault="00D627E3" w:rsidP="00886E27">
      <w:pPr>
        <w:spacing w:after="240"/>
      </w:pPr>
      <w:r w:rsidRPr="00C74DBE">
        <w:lastRenderedPageBreak/>
        <w:t>Kawasaki argued</w:t>
      </w:r>
      <w:r w:rsidR="00DF7CD2">
        <w:rPr>
          <w:rStyle w:val="FootnoteReference"/>
        </w:rPr>
        <w:footnoteReference w:id="14"/>
      </w:r>
      <w:r w:rsidRPr="00C74DBE">
        <w:t xml:space="preserve"> that a special rule of construction exists for contracts which provide for the issue o</w:t>
      </w:r>
      <w:r>
        <w:t>f performance bonds</w:t>
      </w:r>
      <w:r w:rsidR="00892C34">
        <w:t xml:space="preserve"> </w:t>
      </w:r>
      <w:r>
        <w:t xml:space="preserve">being that </w:t>
      </w:r>
      <w:r w:rsidRPr="00C74DBE">
        <w:t>only ‘clear words’ in such a contract can support a construction that prevents the beneficiary from calli</w:t>
      </w:r>
      <w:r>
        <w:t>ng on the performance guarantee.</w:t>
      </w:r>
      <w:r>
        <w:rPr>
          <w:lang w:val="en-AU"/>
        </w:rPr>
        <w:t xml:space="preserve"> </w:t>
      </w:r>
      <w:r>
        <w:t>Kawasaki</w:t>
      </w:r>
      <w:r w:rsidRPr="00C74DBE">
        <w:t xml:space="preserve"> </w:t>
      </w:r>
      <w:r>
        <w:t xml:space="preserve">further </w:t>
      </w:r>
      <w:r w:rsidRPr="00C74DBE">
        <w:t>contended that the inherent nature of a performance bond as a “risk allocation device” necessitates such an approach.</w:t>
      </w:r>
      <w:r w:rsidR="00036BB4">
        <w:t xml:space="preserve">  </w:t>
      </w:r>
    </w:p>
    <w:p w:rsidR="005612D8" w:rsidRPr="005612D8" w:rsidRDefault="005612D8" w:rsidP="005612D8">
      <w:pPr>
        <w:spacing w:after="240"/>
        <w:rPr>
          <w:i/>
        </w:rPr>
      </w:pPr>
      <w:r w:rsidRPr="005612D8">
        <w:t>The NSW</w:t>
      </w:r>
      <w:r>
        <w:t xml:space="preserve"> </w:t>
      </w:r>
      <w:r w:rsidRPr="005612D8">
        <w:t>C</w:t>
      </w:r>
      <w:r>
        <w:t>ourt of Appeal</w:t>
      </w:r>
      <w:r w:rsidRPr="005612D8">
        <w:t xml:space="preserve"> </w:t>
      </w:r>
      <w:r>
        <w:t>eschewed</w:t>
      </w:r>
      <w:r w:rsidRPr="005612D8">
        <w:t xml:space="preserve"> any notion that </w:t>
      </w:r>
      <w:r w:rsidRPr="005612D8">
        <w:rPr>
          <w:i/>
        </w:rPr>
        <w:t>Clough</w:t>
      </w:r>
      <w:r w:rsidRPr="005612D8">
        <w:t xml:space="preserve"> stands as a general proposition that a special rule of construction exists for contracts </w:t>
      </w:r>
      <w:r w:rsidR="006E0DCD">
        <w:t>giving rise to</w:t>
      </w:r>
      <w:r w:rsidRPr="005612D8">
        <w:t xml:space="preserve"> performance bond</w:t>
      </w:r>
      <w:r w:rsidR="006E0DCD">
        <w:t>s</w:t>
      </w:r>
      <w:r w:rsidRPr="005612D8">
        <w:t xml:space="preserve">. Instead, the </w:t>
      </w:r>
      <w:r w:rsidR="006E0DCD">
        <w:t>Court</w:t>
      </w:r>
      <w:r w:rsidRPr="005612D8">
        <w:t xml:space="preserve"> highlighted</w:t>
      </w:r>
      <w:r w:rsidR="006E0DCD">
        <w:rPr>
          <w:rStyle w:val="FootnoteReference"/>
        </w:rPr>
        <w:footnoteReference w:id="15"/>
      </w:r>
      <w:r w:rsidRPr="005612D8">
        <w:t xml:space="preserve"> that the undertakings in </w:t>
      </w:r>
      <w:proofErr w:type="spellStart"/>
      <w:r w:rsidRPr="005612D8">
        <w:t>S</w:t>
      </w:r>
      <w:r w:rsidRPr="005612D8">
        <w:rPr>
          <w:i/>
        </w:rPr>
        <w:t>imic</w:t>
      </w:r>
      <w:proofErr w:type="spellEnd"/>
      <w:r w:rsidRPr="005612D8">
        <w:t xml:space="preserve"> were addressed by the High Court using the same rules of construction as govern commercial contracts</w:t>
      </w:r>
      <w:r w:rsidR="00CF217F">
        <w:t>:</w:t>
      </w:r>
      <w:r w:rsidR="00076D56">
        <w:rPr>
          <w:rStyle w:val="FootnoteReference"/>
        </w:rPr>
        <w:footnoteReference w:id="16"/>
      </w:r>
      <w:r w:rsidR="00076D56">
        <w:t xml:space="preserve"> “</w:t>
      </w:r>
      <w:r w:rsidRPr="005612D8">
        <w:rPr>
          <w:i/>
        </w:rPr>
        <w:t xml:space="preserve">objectively by reference to its text, context and purpose. As was stated in </w:t>
      </w:r>
      <w:r w:rsidRPr="00076D56">
        <w:rPr>
          <w:b/>
          <w:i/>
        </w:rPr>
        <w:t>Electricity Generation Corporation v Woodside Energy Ltd</w:t>
      </w:r>
      <w:r w:rsidRPr="005612D8">
        <w:rPr>
          <w:i/>
        </w:rPr>
        <w:t xml:space="preserve"> </w:t>
      </w:r>
      <w:r w:rsidRPr="000E0E05">
        <w:t>at [35]:</w:t>
      </w:r>
    </w:p>
    <w:p w:rsidR="005612D8" w:rsidRPr="005612D8" w:rsidRDefault="00076D56" w:rsidP="00076D56">
      <w:pPr>
        <w:pStyle w:val="Quote"/>
      </w:pPr>
      <w:r>
        <w:t>“</w:t>
      </w:r>
      <w:r w:rsidR="005612D8" w:rsidRPr="005612D8">
        <w:t xml:space="preserve">[T]he objective approach [is] to be adopted in determining the rights and liabilities of parties to a contract. The meaning of the terms of a commercial contract is to be determined by what a reasonable businessperson would have understood those terms to mean… [I]t will require consideration of the language used by the parties, the surrounding circumstances known to them and the commercial purpose or objects to be secured by the contract. Appreciation of the commercial purpose or objects is facilitated by an understanding ‘of the genesis of the transaction, the background, the context [and] the market in which the parties are operating’. As Arden LJ observed in Re Golden Key Ltd [[2009] EWCA </w:t>
      </w:r>
      <w:proofErr w:type="spellStart"/>
      <w:r w:rsidR="005612D8" w:rsidRPr="005612D8">
        <w:t>Civ</w:t>
      </w:r>
      <w:proofErr w:type="spellEnd"/>
      <w:r w:rsidR="005612D8" w:rsidRPr="005612D8">
        <w:t xml:space="preserve"> 636 at [28]], unless a contrary intention is indicated, a court is entitled to approach the task of giving a commercial contract a businesslike interpretation on the assumption ‘that the parties…intended to produce a commercial result’. A commercial contract is to be construed so as to avoid it ‘making commercial nonsense or working commercial inconvenience’.</w:t>
      </w:r>
      <w:r w:rsidR="00494E73">
        <w:t>” (footnotes omitted)</w:t>
      </w:r>
    </w:p>
    <w:p w:rsidR="00D627E3" w:rsidRPr="00C74DBE" w:rsidRDefault="00DF7CD2" w:rsidP="00886E27">
      <w:pPr>
        <w:spacing w:after="240"/>
      </w:pPr>
      <w:r>
        <w:t>T</w:t>
      </w:r>
      <w:r w:rsidR="00D627E3" w:rsidRPr="00C74DBE">
        <w:t xml:space="preserve">he Court of Appeal </w:t>
      </w:r>
      <w:r w:rsidR="00494E73">
        <w:t xml:space="preserve">also </w:t>
      </w:r>
      <w:r w:rsidR="00D627E3" w:rsidRPr="00C74DBE">
        <w:t xml:space="preserve">did not agree with the </w:t>
      </w:r>
      <w:r w:rsidR="00D627E3">
        <w:t xml:space="preserve">generality of the </w:t>
      </w:r>
      <w:r w:rsidR="00494E73">
        <w:t>characterization of the bonds</w:t>
      </w:r>
      <w:r w:rsidR="00D627E3">
        <w:t xml:space="preserve"> as</w:t>
      </w:r>
      <w:r w:rsidR="00D627E3" w:rsidRPr="00C74DBE">
        <w:t xml:space="preserve"> “risk allocation devices”.</w:t>
      </w:r>
      <w:r w:rsidR="00275CF6">
        <w:rPr>
          <w:rStyle w:val="FootnoteReference"/>
        </w:rPr>
        <w:footnoteReference w:id="17"/>
      </w:r>
      <w:r w:rsidR="00D627E3" w:rsidRPr="00C74DBE">
        <w:t xml:space="preserve"> </w:t>
      </w:r>
      <w:r w:rsidR="00275CF6">
        <w:t>The Court</w:t>
      </w:r>
      <w:r w:rsidR="00D627E3">
        <w:t xml:space="preserve"> </w:t>
      </w:r>
      <w:r w:rsidR="00D627E3" w:rsidRPr="00C74DBE">
        <w:t xml:space="preserve">considered it more relevant to establish the </w:t>
      </w:r>
      <w:r w:rsidR="00D627E3" w:rsidRPr="00275CF6">
        <w:rPr>
          <w:i/>
        </w:rPr>
        <w:t>particular</w:t>
      </w:r>
      <w:r w:rsidR="00D627E3" w:rsidRPr="00C74DBE">
        <w:t xml:space="preserve"> risk against which the bonds were designed to give protection to Kawasaki.</w:t>
      </w:r>
      <w:r w:rsidR="00494E73">
        <w:t xml:space="preserve"> In that regard, t</w:t>
      </w:r>
      <w:r w:rsidR="00D627E3" w:rsidRPr="00C74DBE">
        <w:t xml:space="preserve">he Court </w:t>
      </w:r>
      <w:r w:rsidR="00741AE8">
        <w:t>held</w:t>
      </w:r>
      <w:r w:rsidR="00741AE8">
        <w:rPr>
          <w:rStyle w:val="FootnoteReference"/>
        </w:rPr>
        <w:footnoteReference w:id="18"/>
      </w:r>
      <w:r w:rsidR="00741AE8">
        <w:t xml:space="preserve"> that</w:t>
      </w:r>
      <w:r w:rsidR="00D627E3" w:rsidRPr="00C74DBE">
        <w:t xml:space="preserve"> </w:t>
      </w:r>
      <w:r w:rsidR="00741AE8" w:rsidRPr="00C74DBE">
        <w:t xml:space="preserve">the bonds </w:t>
      </w:r>
      <w:r w:rsidR="00D627E3" w:rsidRPr="00C74DBE">
        <w:t xml:space="preserve">were for the purpose of securing against a call </w:t>
      </w:r>
      <w:r w:rsidR="00D627E3">
        <w:t xml:space="preserve">by JKC </w:t>
      </w:r>
      <w:r w:rsidR="00D627E3" w:rsidRPr="00C74DBE">
        <w:t>on the Kawasaki Bonds</w:t>
      </w:r>
      <w:r w:rsidR="00741AE8">
        <w:t>.</w:t>
      </w:r>
      <w:r w:rsidR="00D627E3">
        <w:t xml:space="preserve"> </w:t>
      </w:r>
      <w:r w:rsidR="00494E73">
        <w:t>T</w:t>
      </w:r>
      <w:r w:rsidR="00D627E3" w:rsidRPr="00C74DBE">
        <w:t xml:space="preserve">here were various indications </w:t>
      </w:r>
      <w:r w:rsidR="00D627E3" w:rsidRPr="00C74DBE">
        <w:lastRenderedPageBreak/>
        <w:t xml:space="preserve">within the Consortium Agreement </w:t>
      </w:r>
      <w:r w:rsidR="008771FF">
        <w:t>that</w:t>
      </w:r>
      <w:r w:rsidR="00D627E3" w:rsidRPr="00C74DBE">
        <w:t xml:space="preserve"> the parties</w:t>
      </w:r>
      <w:r w:rsidR="008771FF">
        <w:t xml:space="preserve"> intended</w:t>
      </w:r>
      <w:r w:rsidR="00D627E3" w:rsidRPr="00C74DBE">
        <w:t xml:space="preserve"> that </w:t>
      </w:r>
      <w:r w:rsidR="008771FF" w:rsidRPr="00ED558F">
        <w:t>Laing O’Rourke</w:t>
      </w:r>
      <w:r w:rsidR="00D627E3" w:rsidRPr="00C74DBE">
        <w:t xml:space="preserve">’s bonds </w:t>
      </w:r>
      <w:r w:rsidR="008771FF">
        <w:t>were</w:t>
      </w:r>
      <w:r w:rsidR="00D627E3" w:rsidRPr="00C74DBE">
        <w:t xml:space="preserve"> security for Kawasaki’s liabilities, which could only be engaged upon JKC making a call </w:t>
      </w:r>
      <w:r w:rsidR="008771FF">
        <w:t>on the Kawasaki b</w:t>
      </w:r>
      <w:r w:rsidR="00D627E3" w:rsidRPr="00C74DBE">
        <w:t xml:space="preserve">onds. Further, the terms of the </w:t>
      </w:r>
      <w:r w:rsidR="008771FF" w:rsidRPr="00ED558F">
        <w:t xml:space="preserve">Laing O’Rourke </w:t>
      </w:r>
      <w:r w:rsidR="008771FF">
        <w:t>s</w:t>
      </w:r>
      <w:r w:rsidR="00D627E3" w:rsidRPr="00C74DBE">
        <w:t xml:space="preserve">ubcontract did not demonstrate that the parties intended to change the circumstances in which Kawasaki could call on the surety bonds. </w:t>
      </w:r>
    </w:p>
    <w:p w:rsidR="00DF7CD2" w:rsidRPr="00C74DBE" w:rsidRDefault="0098343D" w:rsidP="0098343D">
      <w:pPr>
        <w:spacing w:after="240"/>
      </w:pPr>
      <w:r>
        <w:t xml:space="preserve">In dismissing the appeal, the </w:t>
      </w:r>
      <w:r w:rsidRPr="00C74DBE">
        <w:t xml:space="preserve">Court </w:t>
      </w:r>
      <w:r>
        <w:t>considered</w:t>
      </w:r>
      <w:r>
        <w:rPr>
          <w:rStyle w:val="FootnoteReference"/>
        </w:rPr>
        <w:footnoteReference w:id="19"/>
      </w:r>
      <w:r>
        <w:t xml:space="preserve"> that</w:t>
      </w:r>
      <w:r w:rsidRPr="00C74DBE">
        <w:t xml:space="preserve"> </w:t>
      </w:r>
      <w:r w:rsidR="00D627E3" w:rsidRPr="0058274D">
        <w:t xml:space="preserve">Stevenson J was correct to determine whether there was a serious question to be tried, rather than determining the case “as </w:t>
      </w:r>
      <w:r>
        <w:t>if” on a final basis, for to</w:t>
      </w:r>
      <w:r w:rsidR="00D627E3" w:rsidRPr="0058274D">
        <w:t xml:space="preserve"> do so would </w:t>
      </w:r>
      <w:r>
        <w:t xml:space="preserve">have </w:t>
      </w:r>
      <w:r w:rsidR="00D627E3" w:rsidRPr="0058274D">
        <w:t>be</w:t>
      </w:r>
      <w:r>
        <w:t>en</w:t>
      </w:r>
      <w:r w:rsidR="00D627E3" w:rsidRPr="0058274D">
        <w:t xml:space="preserve"> inconsistent with the Cons</w:t>
      </w:r>
      <w:r>
        <w:t>ortium Agreement, which entrusted</w:t>
      </w:r>
      <w:r w:rsidR="00D627E3" w:rsidRPr="0058274D">
        <w:t xml:space="preserve"> an arbitral tribunal with the determination of all disputes</w:t>
      </w:r>
      <w:r>
        <w:t>.</w:t>
      </w:r>
    </w:p>
    <w:p w:rsidR="005E7F56" w:rsidRPr="00027880" w:rsidRDefault="005E7F56" w:rsidP="00886E27">
      <w:pPr>
        <w:pStyle w:val="Heading1"/>
        <w:spacing w:before="480" w:after="240"/>
        <w:rPr>
          <w:lang w:val="en-AU"/>
        </w:rPr>
      </w:pPr>
      <w:proofErr w:type="spellStart"/>
      <w:r w:rsidRPr="00494E73">
        <w:rPr>
          <w:i/>
        </w:rPr>
        <w:t>Dedert</w:t>
      </w:r>
      <w:proofErr w:type="spellEnd"/>
      <w:r w:rsidRPr="00494E73">
        <w:rPr>
          <w:i/>
        </w:rPr>
        <w:t xml:space="preserve"> Corporation v United Dalby Bio-Refinery Pty Ltd</w:t>
      </w:r>
      <w:r w:rsidRPr="00B04BF7">
        <w:t xml:space="preserve"> [2017] VSCA 368</w:t>
      </w:r>
      <w:r>
        <w:t xml:space="preserve"> </w:t>
      </w:r>
      <w:r w:rsidRPr="00027880">
        <w:rPr>
          <w:lang w:val="en-AU"/>
        </w:rPr>
        <w:t>(12 December 2017)</w:t>
      </w:r>
    </w:p>
    <w:p w:rsidR="0048150C" w:rsidRDefault="001D6D93" w:rsidP="0048150C">
      <w:pPr>
        <w:spacing w:after="240"/>
      </w:pPr>
      <w:proofErr w:type="spellStart"/>
      <w:r w:rsidRPr="001D6D93">
        <w:t>Dedert</w:t>
      </w:r>
      <w:proofErr w:type="spellEnd"/>
      <w:r w:rsidRPr="001D6D93">
        <w:t xml:space="preserve"> entered into a contract </w:t>
      </w:r>
      <w:r>
        <w:t>to</w:t>
      </w:r>
      <w:r w:rsidR="00C8457B">
        <w:t xml:space="preserve"> supply and install</w:t>
      </w:r>
      <w:r w:rsidRPr="001D6D93">
        <w:t xml:space="preserve"> a "combo eco-dry syst</w:t>
      </w:r>
      <w:r>
        <w:t xml:space="preserve">em" at </w:t>
      </w:r>
      <w:r w:rsidR="00485953">
        <w:t>United’s</w:t>
      </w:r>
      <w:r>
        <w:t xml:space="preserve"> refinery</w:t>
      </w:r>
      <w:r w:rsidR="00314B5E">
        <w:t>. The c</w:t>
      </w:r>
      <w:r w:rsidRPr="001D6D93">
        <w:t xml:space="preserve">ontract required </w:t>
      </w:r>
      <w:proofErr w:type="spellStart"/>
      <w:r>
        <w:t>Dedert</w:t>
      </w:r>
      <w:proofErr w:type="spellEnd"/>
      <w:r w:rsidRPr="001D6D93">
        <w:t xml:space="preserve"> to provide </w:t>
      </w:r>
      <w:r w:rsidR="00485953">
        <w:t xml:space="preserve">United </w:t>
      </w:r>
      <w:r w:rsidRPr="001D6D93">
        <w:t>with a bank guarantee to secure</w:t>
      </w:r>
      <w:r>
        <w:t xml:space="preserve"> its performance</w:t>
      </w:r>
      <w:r w:rsidRPr="001D6D93">
        <w:t xml:space="preserve">. </w:t>
      </w:r>
      <w:r w:rsidR="0048150C">
        <w:t>C</w:t>
      </w:r>
      <w:r w:rsidR="0048150C" w:rsidRPr="00DF41FF">
        <w:t xml:space="preserve">lause 5.2 </w:t>
      </w:r>
      <w:r w:rsidR="0048150C">
        <w:t>(</w:t>
      </w:r>
      <w:r w:rsidR="0048150C" w:rsidRPr="00DF41FF">
        <w:t>of the amended AS 4902 contract</w:t>
      </w:r>
      <w:r w:rsidR="0048150C">
        <w:t>) provided that:</w:t>
      </w:r>
      <w:r w:rsidR="0048150C" w:rsidRPr="00DF41FF">
        <w:t xml:space="preserve"> </w:t>
      </w:r>
    </w:p>
    <w:p w:rsidR="0048150C" w:rsidRPr="0048150C" w:rsidRDefault="0048150C" w:rsidP="0048150C">
      <w:pPr>
        <w:pStyle w:val="Quote"/>
        <w:rPr>
          <w:i w:val="0"/>
        </w:rPr>
      </w:pPr>
      <w:r w:rsidRPr="00DF41FF">
        <w:t xml:space="preserve">‘Security shall be subject to recourse by a party </w:t>
      </w:r>
      <w:r w:rsidRPr="0048150C">
        <w:rPr>
          <w:b/>
        </w:rPr>
        <w:t>who remains unpaid</w:t>
      </w:r>
      <w:r w:rsidRPr="00DF41FF">
        <w:t xml:space="preserve"> </w:t>
      </w:r>
      <w:r w:rsidRPr="0048150C">
        <w:rPr>
          <w:b/>
        </w:rPr>
        <w:t>after the time for payment</w:t>
      </w:r>
      <w:r w:rsidRPr="00DF41FF">
        <w:t xml:space="preserve"> where at least 5 days have elapsed since that party notified the other party of intention to have recourse.’</w:t>
      </w:r>
      <w:r>
        <w:t xml:space="preserve"> </w:t>
      </w:r>
      <w:r>
        <w:rPr>
          <w:i w:val="0"/>
        </w:rPr>
        <w:t>[emphasis added]</w:t>
      </w:r>
    </w:p>
    <w:p w:rsidR="001D6D93" w:rsidRPr="001D6D93" w:rsidRDefault="001D6D93" w:rsidP="001D6D93">
      <w:pPr>
        <w:spacing w:after="240"/>
      </w:pPr>
      <w:r w:rsidRPr="001D6D93">
        <w:t xml:space="preserve">After supply and installation of the drying system, </w:t>
      </w:r>
      <w:r w:rsidR="00485953">
        <w:t>United</w:t>
      </w:r>
      <w:r w:rsidRPr="001D6D93">
        <w:t xml:space="preserve"> </w:t>
      </w:r>
      <w:r w:rsidR="00485953">
        <w:t>complained of</w:t>
      </w:r>
      <w:r w:rsidR="00485953" w:rsidRPr="001D6D93">
        <w:t xml:space="preserve"> defects in the system which required rectification</w:t>
      </w:r>
      <w:r w:rsidR="00485953">
        <w:t xml:space="preserve">. It then gave </w:t>
      </w:r>
      <w:proofErr w:type="spellStart"/>
      <w:r>
        <w:t>Dedert</w:t>
      </w:r>
      <w:proofErr w:type="spellEnd"/>
      <w:r w:rsidRPr="001D6D93">
        <w:t xml:space="preserve"> notice of its intention to call on the bank guarantee</w:t>
      </w:r>
      <w:r w:rsidR="00485953">
        <w:t>s</w:t>
      </w:r>
      <w:r w:rsidRPr="001D6D93">
        <w:t xml:space="preserve"> in respect of losses </w:t>
      </w:r>
      <w:r w:rsidR="00485953">
        <w:t>resulting from the defects</w:t>
      </w:r>
      <w:r w:rsidRPr="001D6D93">
        <w:t>.</w:t>
      </w:r>
      <w:r w:rsidR="00293176">
        <w:t xml:space="preserve"> </w:t>
      </w:r>
      <w:proofErr w:type="spellStart"/>
      <w:r w:rsidR="00293176">
        <w:t>Dedert</w:t>
      </w:r>
      <w:proofErr w:type="spellEnd"/>
      <w:r w:rsidR="00293176">
        <w:t xml:space="preserve"> sought an injunction.</w:t>
      </w:r>
    </w:p>
    <w:p w:rsidR="0048150C" w:rsidRDefault="0048150C" w:rsidP="0048150C">
      <w:pPr>
        <w:spacing w:after="240"/>
      </w:pPr>
      <w:r>
        <w:t>At first instance, the trial judge found that cl 5.2 did not preclude</w:t>
      </w:r>
      <w:r w:rsidR="00293176">
        <w:t xml:space="preserve"> United from </w:t>
      </w:r>
      <w:r>
        <w:t>call</w:t>
      </w:r>
      <w:r w:rsidR="00293176">
        <w:t>ing</w:t>
      </w:r>
      <w:r>
        <w:t xml:space="preserve"> on </w:t>
      </w:r>
      <w:r w:rsidR="00293176">
        <w:t xml:space="preserve">the </w:t>
      </w:r>
      <w:r>
        <w:t xml:space="preserve">security in respect of bona fide claims for amounts which </w:t>
      </w:r>
      <w:r w:rsidRPr="00293176">
        <w:rPr>
          <w:i/>
        </w:rPr>
        <w:t>may become due</w:t>
      </w:r>
      <w:r>
        <w:t xml:space="preserve"> from the contractor for breach of contract.</w:t>
      </w:r>
      <w:r w:rsidR="0069636B">
        <w:t xml:space="preserve"> </w:t>
      </w:r>
      <w:proofErr w:type="spellStart"/>
      <w:r w:rsidR="0069636B">
        <w:t>Dedert</w:t>
      </w:r>
      <w:proofErr w:type="spellEnd"/>
      <w:r w:rsidR="0069636B">
        <w:t xml:space="preserve"> appealed.</w:t>
      </w:r>
    </w:p>
    <w:p w:rsidR="00407668" w:rsidRDefault="0069636B" w:rsidP="0069636B">
      <w:pPr>
        <w:spacing w:after="240"/>
      </w:pPr>
      <w:r w:rsidRPr="00A47D30">
        <w:lastRenderedPageBreak/>
        <w:t>Kaye JA, with whom Priest JA agreed (</w:t>
      </w:r>
      <w:r>
        <w:t>providing</w:t>
      </w:r>
      <w:r w:rsidRPr="00A47D30">
        <w:t xml:space="preserve"> his own reasons on the issue of interpretation of commercial contracts), </w:t>
      </w:r>
      <w:r w:rsidR="00407668" w:rsidRPr="00A47D30">
        <w:t>allowed the appeal</w:t>
      </w:r>
      <w:r w:rsidR="00407668">
        <w:t>,</w:t>
      </w:r>
      <w:r w:rsidR="00407668" w:rsidRPr="00A47D30">
        <w:t xml:space="preserve"> set aside the trial judge's decision</w:t>
      </w:r>
      <w:r w:rsidR="00407668">
        <w:t>, and granted an</w:t>
      </w:r>
      <w:r w:rsidR="00407668" w:rsidRPr="00A47D30">
        <w:t xml:space="preserve"> injunction restraining </w:t>
      </w:r>
      <w:r w:rsidR="00407668">
        <w:t>United</w:t>
      </w:r>
      <w:r w:rsidR="00407668" w:rsidRPr="00A47D30">
        <w:t xml:space="preserve"> from calling upon the security.</w:t>
      </w:r>
      <w:r w:rsidR="00407668">
        <w:t xml:space="preserve"> </w:t>
      </w:r>
    </w:p>
    <w:p w:rsidR="00A47D30" w:rsidRPr="00A47D30" w:rsidRDefault="00407668" w:rsidP="00A47D30">
      <w:pPr>
        <w:spacing w:after="240"/>
      </w:pPr>
      <w:r>
        <w:t xml:space="preserve">The majority </w:t>
      </w:r>
      <w:r w:rsidR="0069636B" w:rsidRPr="00A47D30">
        <w:t>held that clause</w:t>
      </w:r>
      <w:r w:rsidR="0069636B">
        <w:t xml:space="preserve"> 5.2</w:t>
      </w:r>
      <w:r w:rsidR="0069636B" w:rsidRPr="00A47D30">
        <w:t xml:space="preserve"> contained an implicit prohibition against recourse to the security in circumstances other than where the principal remained unpaid after the time for payment. </w:t>
      </w:r>
      <w:r w:rsidR="00A47D30" w:rsidRPr="00A47D30">
        <w:t xml:space="preserve">Kaye JA </w:t>
      </w:r>
      <w:r w:rsidR="00321CA3">
        <w:t>followed</w:t>
      </w:r>
      <w:r w:rsidR="00A47D30" w:rsidRPr="00A47D30">
        <w:t xml:space="preserve"> </w:t>
      </w:r>
      <w:r w:rsidR="004870EC">
        <w:t xml:space="preserve">the interpretive approach of </w:t>
      </w:r>
      <w:r w:rsidR="00321CA3">
        <w:t xml:space="preserve">the </w:t>
      </w:r>
      <w:r w:rsidR="00321CA3" w:rsidRPr="00A47D30">
        <w:t>Queensland Court of Appeal</w:t>
      </w:r>
      <w:r w:rsidR="004870EC">
        <w:t xml:space="preserve"> </w:t>
      </w:r>
      <w:r w:rsidR="00321CA3">
        <w:t xml:space="preserve">in </w:t>
      </w:r>
      <w:r w:rsidR="00A47D30" w:rsidRPr="00A47D30">
        <w:rPr>
          <w:i/>
        </w:rPr>
        <w:t xml:space="preserve">RCR O’Donnell </w:t>
      </w:r>
      <w:r w:rsidR="00321CA3" w:rsidRPr="00321CA3">
        <w:t>(discussed above)</w:t>
      </w:r>
      <w:r w:rsidR="00A47D30" w:rsidRPr="00321CA3">
        <w:t>,</w:t>
      </w:r>
      <w:r w:rsidR="00A47D30" w:rsidRPr="00A47D30">
        <w:t xml:space="preserve"> where the </w:t>
      </w:r>
      <w:r w:rsidR="00321CA3">
        <w:t xml:space="preserve">relevant </w:t>
      </w:r>
      <w:r w:rsidR="00A47D30" w:rsidRPr="00A47D30">
        <w:t xml:space="preserve">clause </w:t>
      </w:r>
      <w:r w:rsidR="00321CA3">
        <w:t xml:space="preserve">was </w:t>
      </w:r>
      <w:r w:rsidR="00A47D30" w:rsidRPr="00A47D30">
        <w:t>in almost identical terms</w:t>
      </w:r>
      <w:r w:rsidR="00321CA3">
        <w:t>.</w:t>
      </w:r>
      <w:r w:rsidR="00A47D30" w:rsidRPr="00A47D30">
        <w:t xml:space="preserve"> </w:t>
      </w:r>
    </w:p>
    <w:p w:rsidR="00A47D30" w:rsidRPr="00A47D30" w:rsidRDefault="006175EC" w:rsidP="00A47D30">
      <w:pPr>
        <w:spacing w:after="240"/>
      </w:pPr>
      <w:r>
        <w:t>H</w:t>
      </w:r>
      <w:r w:rsidRPr="00A47D30">
        <w:t xml:space="preserve">is </w:t>
      </w:r>
      <w:proofErr w:type="spellStart"/>
      <w:r w:rsidRPr="00A47D30">
        <w:t>Honour</w:t>
      </w:r>
      <w:proofErr w:type="spellEnd"/>
      <w:r w:rsidRPr="00A47D30">
        <w:t xml:space="preserve"> found </w:t>
      </w:r>
      <w:r w:rsidR="00A47D30" w:rsidRPr="00A47D30">
        <w:t xml:space="preserve">that </w:t>
      </w:r>
      <w:r w:rsidR="00D2364D">
        <w:t>United’s</w:t>
      </w:r>
      <w:r w:rsidR="00A47D30" w:rsidRPr="00A47D30">
        <w:t xml:space="preserve"> claim for unliquidated damages for breach</w:t>
      </w:r>
      <w:r w:rsidR="00314B5E">
        <w:t xml:space="preserve"> of contract (or direct losses)</w:t>
      </w:r>
      <w:r w:rsidR="00A47D30" w:rsidRPr="00A47D30">
        <w:t xml:space="preserve"> was not </w:t>
      </w:r>
      <w:r>
        <w:t xml:space="preserve">for </w:t>
      </w:r>
      <w:r w:rsidR="00A47D30" w:rsidRPr="00A47D30">
        <w:t xml:space="preserve">an amount which was then due and payable under the contract. </w:t>
      </w:r>
      <w:r w:rsidR="00150802">
        <w:t>On the proper construction of</w:t>
      </w:r>
      <w:r w:rsidR="00F05057">
        <w:t xml:space="preserve"> the relevant provision, he held</w:t>
      </w:r>
      <w:r w:rsidR="00A47D30" w:rsidRPr="00A47D30">
        <w:t>:</w:t>
      </w:r>
      <w:r w:rsidR="00F05057">
        <w:rPr>
          <w:rStyle w:val="FootnoteReference"/>
        </w:rPr>
        <w:footnoteReference w:id="20"/>
      </w:r>
    </w:p>
    <w:p w:rsidR="00A47D30" w:rsidRPr="00A47D30" w:rsidRDefault="00A47D30" w:rsidP="00F05057">
      <w:pPr>
        <w:pStyle w:val="Quote"/>
      </w:pPr>
      <w:r w:rsidRPr="00A47D30">
        <w:t xml:space="preserve"> “…it was an implied negative stipulation in the contract that the respondent would not invoke recourse to the security in the absence of there being an account ‘unpaid’ by the applicant to the respondent ‘after the time for payment’.”</w:t>
      </w:r>
    </w:p>
    <w:p w:rsidR="00A47D30" w:rsidRPr="00A47D30" w:rsidRDefault="00A47D30" w:rsidP="00A47D30">
      <w:pPr>
        <w:spacing w:after="240"/>
      </w:pPr>
      <w:r w:rsidRPr="00A47D30">
        <w:t xml:space="preserve">Accordingly, as the ‘direct losses’ asserted by the Principal did not constitute amounts which remained ‘unpaid after the time for payment’, </w:t>
      </w:r>
      <w:r w:rsidR="00150802">
        <w:t>United</w:t>
      </w:r>
      <w:r w:rsidRPr="00A47D30">
        <w:t xml:space="preserve"> had no basis to call upon the security. </w:t>
      </w:r>
    </w:p>
    <w:p w:rsidR="00A47D30" w:rsidRPr="00A47D30" w:rsidRDefault="00B75AC9" w:rsidP="00A47D30">
      <w:pPr>
        <w:spacing w:after="240"/>
      </w:pPr>
      <w:r>
        <w:t xml:space="preserve">As to the fact </w:t>
      </w:r>
      <w:r w:rsidR="00A47D30" w:rsidRPr="00A47D30">
        <w:t>that the bank guarantee was ‘unconditional’</w:t>
      </w:r>
      <w:r>
        <w:t>, Kaye J observed</w:t>
      </w:r>
      <w:r w:rsidR="00A47D30" w:rsidRPr="00A47D30">
        <w:t>:</w:t>
      </w:r>
      <w:r>
        <w:rPr>
          <w:rStyle w:val="FootnoteReference"/>
        </w:rPr>
        <w:footnoteReference w:id="21"/>
      </w:r>
    </w:p>
    <w:p w:rsidR="00A47D30" w:rsidRPr="00A47D30" w:rsidRDefault="00A47D30" w:rsidP="00150802">
      <w:pPr>
        <w:pStyle w:val="Quote"/>
      </w:pPr>
      <w:r w:rsidRPr="00A47D30">
        <w:t>“…where the contract did not preclude [the Principal] from having recourse to the security, the undertaking or guarantee should be unconditional in its form and effect."</w:t>
      </w:r>
    </w:p>
    <w:p w:rsidR="00580692" w:rsidRDefault="001B54F7" w:rsidP="001B54F7">
      <w:pPr>
        <w:spacing w:after="240"/>
      </w:pPr>
      <w:r>
        <w:t xml:space="preserve">In his dissenting judgment, Whelan JA </w:t>
      </w:r>
      <w:r w:rsidR="006E248C">
        <w:t xml:space="preserve">embraced </w:t>
      </w:r>
      <w:r w:rsidR="00B57DCA">
        <w:t>the</w:t>
      </w:r>
      <w:r w:rsidR="00580692">
        <w:t xml:space="preserve"> more </w:t>
      </w:r>
      <w:r w:rsidR="006E248C">
        <w:t xml:space="preserve">traditional </w:t>
      </w:r>
      <w:r w:rsidR="00B4031C" w:rsidRPr="00580692">
        <w:rPr>
          <w:i/>
        </w:rPr>
        <w:t>Clough</w:t>
      </w:r>
      <w:r w:rsidR="00B4031C">
        <w:t xml:space="preserve"> </w:t>
      </w:r>
      <w:r w:rsidR="006E248C" w:rsidRPr="00B4031C">
        <w:t>approach</w:t>
      </w:r>
      <w:r w:rsidR="00580692">
        <w:t xml:space="preserve">. His </w:t>
      </w:r>
      <w:proofErr w:type="spellStart"/>
      <w:r w:rsidR="00580692">
        <w:t>Honour’s</w:t>
      </w:r>
      <w:proofErr w:type="spellEnd"/>
      <w:r w:rsidR="00580692">
        <w:t xml:space="preserve"> helpful summary of his reasons is instructive</w:t>
      </w:r>
      <w:r w:rsidR="00FD3AA7">
        <w:t>, relevantly (for this paper)</w:t>
      </w:r>
      <w:r w:rsidR="00580692">
        <w:t>:</w:t>
      </w:r>
      <w:r w:rsidR="00795F0B">
        <w:rPr>
          <w:rStyle w:val="FootnoteReference"/>
        </w:rPr>
        <w:footnoteReference w:id="22"/>
      </w:r>
    </w:p>
    <w:p w:rsidR="00580692" w:rsidRPr="00580692" w:rsidRDefault="00795F0B" w:rsidP="00580692">
      <w:pPr>
        <w:pStyle w:val="Quote"/>
        <w:rPr>
          <w:lang w:val="en-AU"/>
        </w:rPr>
      </w:pPr>
      <w:r>
        <w:rPr>
          <w:lang w:val="en-AU"/>
        </w:rPr>
        <w:t>“</w:t>
      </w:r>
      <w:r w:rsidR="00580692" w:rsidRPr="00580692">
        <w:rPr>
          <w:lang w:val="en-AU"/>
        </w:rPr>
        <w:t>(1) The role of ‘unconditional’ securities of the kind in issue here, as being the functional equivalent of cash, is of fundamental importance.</w:t>
      </w:r>
    </w:p>
    <w:p w:rsidR="00580692" w:rsidRPr="00580692" w:rsidRDefault="00580692" w:rsidP="00580692">
      <w:pPr>
        <w:pStyle w:val="Quote"/>
        <w:rPr>
          <w:lang w:val="en-AU"/>
        </w:rPr>
      </w:pPr>
      <w:r w:rsidRPr="00580692">
        <w:rPr>
          <w:lang w:val="en-AU"/>
        </w:rPr>
        <w:lastRenderedPageBreak/>
        <w:t>(2) There is no doubt that the respondent has a contractual right as against the bank to call up the security. It can only be prevented from doing so if the contract between the respondent and the applicant contains an implicit prohibition on it doing so. There is no explicit prohibition.</w:t>
      </w:r>
    </w:p>
    <w:p w:rsidR="00580692" w:rsidRPr="00573576" w:rsidRDefault="00580692" w:rsidP="00580692">
      <w:pPr>
        <w:pStyle w:val="Quote"/>
        <w:rPr>
          <w:i w:val="0"/>
          <w:lang w:val="en-AU"/>
        </w:rPr>
      </w:pPr>
      <w:r w:rsidRPr="00580692">
        <w:rPr>
          <w:lang w:val="en-AU"/>
        </w:rPr>
        <w:t xml:space="preserve">(3) The implicit prohibition relied upon by the applicant before the trial judge was cl 5.2. The argument was that cl 5.2 comprehensively prescribed the circumstances in which recourse could be had to the security and, thus, recourse in other circumstances is implicitly prohibited. The trial judge rejected this contention. He was clearly correct to do so. Before us, it was accepted that cl 5.2 is not comprehensive. At the least, recourse is also permitted in the circumstances provided for by </w:t>
      </w:r>
      <w:proofErr w:type="spellStart"/>
      <w:r w:rsidRPr="00580692">
        <w:rPr>
          <w:lang w:val="en-AU"/>
        </w:rPr>
        <w:t>cls</w:t>
      </w:r>
      <w:proofErr w:type="spellEnd"/>
      <w:r w:rsidRPr="00580692">
        <w:rPr>
          <w:lang w:val="en-AU"/>
        </w:rPr>
        <w:t xml:space="preserve"> 39.7 and 39.9.</w:t>
      </w:r>
      <w:r w:rsidR="00573576" w:rsidRPr="00353585">
        <w:rPr>
          <w:rStyle w:val="FootnoteReference"/>
          <w:i w:val="0"/>
          <w:lang w:val="en-AU"/>
        </w:rPr>
        <w:footnoteReference w:id="23"/>
      </w:r>
    </w:p>
    <w:p w:rsidR="00580692" w:rsidRPr="00580692" w:rsidRDefault="00580692" w:rsidP="00580692">
      <w:pPr>
        <w:pStyle w:val="Quote"/>
        <w:rPr>
          <w:lang w:val="en-AU"/>
        </w:rPr>
      </w:pPr>
      <w:r w:rsidRPr="00580692">
        <w:rPr>
          <w:lang w:val="en-AU"/>
        </w:rPr>
        <w:t xml:space="preserve">(4) </w:t>
      </w:r>
      <w:r w:rsidR="00FD3AA7">
        <w:rPr>
          <w:lang w:val="en-AU"/>
        </w:rPr>
        <w:t>….</w:t>
      </w:r>
    </w:p>
    <w:p w:rsidR="00580692" w:rsidRPr="00580692" w:rsidRDefault="00580692" w:rsidP="00580692">
      <w:pPr>
        <w:pStyle w:val="Quote"/>
        <w:rPr>
          <w:lang w:val="en-AU"/>
        </w:rPr>
      </w:pPr>
      <w:r w:rsidRPr="00580692">
        <w:rPr>
          <w:lang w:val="en-AU"/>
        </w:rPr>
        <w:t>(5) The balance of convenience overwhelmingly favours the respondent. The terms of the undertaking the respondent gave the trial judge, and which it proffered to this Court, mean the applicant will suffer little, if any, detriment if the injunction is not granted. On the other hand, granting the injunction is likely to have the effect of depriving the respondent of the security provided for by the contract, and of precluding it from exercising the undoubted contractual right which it presently has against the bank.</w:t>
      </w:r>
    </w:p>
    <w:p w:rsidR="00580692" w:rsidRPr="00580692" w:rsidRDefault="00580692" w:rsidP="00580692">
      <w:pPr>
        <w:pStyle w:val="Quote"/>
        <w:rPr>
          <w:lang w:val="en-AU"/>
        </w:rPr>
      </w:pPr>
      <w:r w:rsidRPr="00580692">
        <w:rPr>
          <w:lang w:val="en-AU"/>
        </w:rPr>
        <w:t>(6) I do not consider that this Court’s decisions in Bachmann Pty Ltd v BHP Power New Zealand Ltd</w:t>
      </w:r>
      <w:bookmarkStart w:id="2" w:name="fnB1"/>
      <w:r w:rsidRPr="00580692">
        <w:rPr>
          <w:vertAlign w:val="superscript"/>
          <w:lang w:val="en-AU"/>
        </w:rPr>
        <w:fldChar w:fldCharType="begin"/>
      </w:r>
      <w:r w:rsidRPr="00580692">
        <w:rPr>
          <w:vertAlign w:val="superscript"/>
          <w:lang w:val="en-AU"/>
        </w:rPr>
        <w:instrText xml:space="preserve"> HYPERLINK "http://classic.austlii.edu.au/cgi-bin/sinodisp/au/cases/vic/VSCA/2017/368.html?stem=0&amp;synonyms=0&amp;query=dedert&amp;nocontext=1" \l "fn1" </w:instrText>
      </w:r>
      <w:r w:rsidRPr="00580692">
        <w:rPr>
          <w:vertAlign w:val="superscript"/>
          <w:lang w:val="en-AU"/>
        </w:rPr>
        <w:fldChar w:fldCharType="separate"/>
      </w:r>
      <w:r w:rsidRPr="00580692">
        <w:rPr>
          <w:rStyle w:val="Hyperlink"/>
          <w:vertAlign w:val="superscript"/>
          <w:lang w:val="en-AU"/>
        </w:rPr>
        <w:t>[1]</w:t>
      </w:r>
      <w:r w:rsidRPr="00580692">
        <w:fldChar w:fldCharType="end"/>
      </w:r>
      <w:bookmarkEnd w:id="2"/>
      <w:r w:rsidRPr="00580692">
        <w:rPr>
          <w:lang w:val="en-AU"/>
        </w:rPr>
        <w:t xml:space="preserve"> and Fletcher Construction Australia Ltd v </w:t>
      </w:r>
      <w:proofErr w:type="spellStart"/>
      <w:r w:rsidRPr="00580692">
        <w:rPr>
          <w:lang w:val="en-AU"/>
        </w:rPr>
        <w:t>Varnsdorf</w:t>
      </w:r>
      <w:proofErr w:type="spellEnd"/>
      <w:r w:rsidRPr="00580692">
        <w:rPr>
          <w:lang w:val="en-AU"/>
        </w:rPr>
        <w:t xml:space="preserve"> Pty Ltd</w:t>
      </w:r>
      <w:bookmarkStart w:id="3" w:name="fnB2"/>
      <w:r w:rsidRPr="00580692">
        <w:rPr>
          <w:vertAlign w:val="superscript"/>
          <w:lang w:val="en-AU"/>
        </w:rPr>
        <w:fldChar w:fldCharType="begin"/>
      </w:r>
      <w:r w:rsidRPr="00580692">
        <w:rPr>
          <w:vertAlign w:val="superscript"/>
          <w:lang w:val="en-AU"/>
        </w:rPr>
        <w:instrText xml:space="preserve"> HYPERLINK "http://classic.austlii.edu.au/cgi-bin/sinodisp/au/cases/vic/VSCA/2017/368.html?stem=0&amp;synonyms=0&amp;query=dedert&amp;nocontext=1" \l "fn2" </w:instrText>
      </w:r>
      <w:r w:rsidRPr="00580692">
        <w:rPr>
          <w:vertAlign w:val="superscript"/>
          <w:lang w:val="en-AU"/>
        </w:rPr>
        <w:fldChar w:fldCharType="separate"/>
      </w:r>
      <w:r w:rsidRPr="00580692">
        <w:rPr>
          <w:rStyle w:val="Hyperlink"/>
          <w:vertAlign w:val="superscript"/>
          <w:lang w:val="en-AU"/>
        </w:rPr>
        <w:t>[2]</w:t>
      </w:r>
      <w:r w:rsidRPr="00580692">
        <w:fldChar w:fldCharType="end"/>
      </w:r>
      <w:bookmarkEnd w:id="3"/>
      <w:r w:rsidRPr="00580692">
        <w:rPr>
          <w:lang w:val="en-AU"/>
        </w:rPr>
        <w:t> and the decision of the Full Court of the Federal Court in Clough Engineering Ltd v Oil &amp; Natural Gas Corporation Ltd</w:t>
      </w:r>
      <w:bookmarkStart w:id="4" w:name="fnB3"/>
      <w:r w:rsidRPr="00580692">
        <w:rPr>
          <w:vertAlign w:val="superscript"/>
          <w:lang w:val="en-AU"/>
        </w:rPr>
        <w:fldChar w:fldCharType="begin"/>
      </w:r>
      <w:r w:rsidRPr="00580692">
        <w:rPr>
          <w:vertAlign w:val="superscript"/>
          <w:lang w:val="en-AU"/>
        </w:rPr>
        <w:instrText xml:space="preserve"> HYPERLINK "http://classic.austlii.edu.au/cgi-bin/sinodisp/au/cases/vic/VSCA/2017/368.html?stem=0&amp;synonyms=0&amp;query=dedert&amp;nocontext=1" \l "fn3" </w:instrText>
      </w:r>
      <w:r w:rsidRPr="00580692">
        <w:rPr>
          <w:vertAlign w:val="superscript"/>
          <w:lang w:val="en-AU"/>
        </w:rPr>
        <w:fldChar w:fldCharType="separate"/>
      </w:r>
      <w:r w:rsidRPr="00580692">
        <w:rPr>
          <w:rStyle w:val="Hyperlink"/>
          <w:vertAlign w:val="superscript"/>
          <w:lang w:val="en-AU"/>
        </w:rPr>
        <w:t>[3]</w:t>
      </w:r>
      <w:r w:rsidRPr="00580692">
        <w:fldChar w:fldCharType="end"/>
      </w:r>
      <w:bookmarkEnd w:id="4"/>
      <w:r w:rsidRPr="00580692">
        <w:rPr>
          <w:lang w:val="en-AU"/>
        </w:rPr>
        <w:t xml:space="preserve"> are distinguishable. I consider that the decision of the Queensland Court of Appeal in RCR O’Donnell Griffin Pty Ltd v Forge Group Power Pty Ltd (rec and </w:t>
      </w:r>
      <w:proofErr w:type="spellStart"/>
      <w:r w:rsidRPr="00580692">
        <w:rPr>
          <w:lang w:val="en-AU"/>
        </w:rPr>
        <w:t>mgr</w:t>
      </w:r>
      <w:proofErr w:type="spellEnd"/>
      <w:r w:rsidRPr="00580692">
        <w:rPr>
          <w:lang w:val="en-AU"/>
        </w:rPr>
        <w:t xml:space="preserve"> </w:t>
      </w:r>
      <w:proofErr w:type="spellStart"/>
      <w:r w:rsidRPr="00580692">
        <w:rPr>
          <w:lang w:val="en-AU"/>
        </w:rPr>
        <w:t>appt</w:t>
      </w:r>
      <w:proofErr w:type="spellEnd"/>
      <w:r w:rsidRPr="00580692">
        <w:rPr>
          <w:lang w:val="en-AU"/>
        </w:rPr>
        <w:t xml:space="preserve">) (in </w:t>
      </w:r>
      <w:proofErr w:type="spellStart"/>
      <w:r w:rsidRPr="00580692">
        <w:rPr>
          <w:lang w:val="en-AU"/>
        </w:rPr>
        <w:t>liq</w:t>
      </w:r>
      <w:proofErr w:type="spellEnd"/>
      <w:r w:rsidRPr="00580692">
        <w:rPr>
          <w:lang w:val="en-AU"/>
        </w:rPr>
        <w:t>)</w:t>
      </w:r>
      <w:bookmarkStart w:id="5" w:name="fnB4"/>
      <w:r w:rsidRPr="00580692">
        <w:rPr>
          <w:vertAlign w:val="superscript"/>
          <w:lang w:val="en-AU"/>
        </w:rPr>
        <w:fldChar w:fldCharType="begin"/>
      </w:r>
      <w:r w:rsidRPr="00580692">
        <w:rPr>
          <w:vertAlign w:val="superscript"/>
          <w:lang w:val="en-AU"/>
        </w:rPr>
        <w:instrText xml:space="preserve"> HYPERLINK "http://classic.austlii.edu.au/cgi-bin/sinodisp/au/cases/vic/VSCA/2017/368.html?stem=0&amp;synonyms=0&amp;query=dedert&amp;nocontext=1" \l "fn4" </w:instrText>
      </w:r>
      <w:r w:rsidRPr="00580692">
        <w:rPr>
          <w:vertAlign w:val="superscript"/>
          <w:lang w:val="en-AU"/>
        </w:rPr>
        <w:fldChar w:fldCharType="separate"/>
      </w:r>
      <w:r w:rsidRPr="00580692">
        <w:rPr>
          <w:rStyle w:val="Hyperlink"/>
          <w:vertAlign w:val="superscript"/>
          <w:lang w:val="en-AU"/>
        </w:rPr>
        <w:t>[4]</w:t>
      </w:r>
      <w:r w:rsidRPr="00580692">
        <w:fldChar w:fldCharType="end"/>
      </w:r>
      <w:bookmarkEnd w:id="5"/>
      <w:r w:rsidRPr="00580692">
        <w:rPr>
          <w:lang w:val="en-AU"/>
        </w:rPr>
        <w:t> is distinguishable, and to the extent it is not, I prefer the analysis in Bachmann, Fletcher Construction and Clough Engineering. The decisions in Bachmann and Fletcher Construction are particularly significant in relation to the construction of cl 39.7.</w:t>
      </w:r>
      <w:r w:rsidR="00164955">
        <w:rPr>
          <w:lang w:val="en-AU"/>
        </w:rPr>
        <w:t>”</w:t>
      </w:r>
    </w:p>
    <w:p w:rsidR="004F0293" w:rsidRPr="00E22508" w:rsidRDefault="008F08CF" w:rsidP="00E22508">
      <w:pPr>
        <w:spacing w:after="240"/>
        <w:rPr>
          <w:lang w:val="en-AU"/>
        </w:rPr>
      </w:pPr>
      <w:r>
        <w:t xml:space="preserve">His </w:t>
      </w:r>
      <w:proofErr w:type="spellStart"/>
      <w:r>
        <w:t>Honour</w:t>
      </w:r>
      <w:proofErr w:type="spellEnd"/>
      <w:r>
        <w:t xml:space="preserve"> also</w:t>
      </w:r>
      <w:r w:rsidR="00E22508">
        <w:t xml:space="preserve"> considered the</w:t>
      </w:r>
      <w:r w:rsidR="004F0293" w:rsidRPr="004F0293">
        <w:t xml:space="preserve"> two reasons </w:t>
      </w:r>
      <w:r w:rsidR="00206798">
        <w:t>for a guarantee -</w:t>
      </w:r>
      <w:r w:rsidR="00E22508">
        <w:t xml:space="preserve"> to provide security</w:t>
      </w:r>
      <w:r w:rsidR="004F0293" w:rsidRPr="004F0293">
        <w:t xml:space="preserve"> and to allocate risk</w:t>
      </w:r>
      <w:r w:rsidR="00206798">
        <w:t xml:space="preserve"> – and opined that i</w:t>
      </w:r>
      <w:r w:rsidR="004F0293" w:rsidRPr="004F0293">
        <w:t xml:space="preserve">f, upon a proper construction of the contract, the commercial purpose was to allocate risk, </w:t>
      </w:r>
      <w:r w:rsidR="00206798">
        <w:t xml:space="preserve">then in the words of </w:t>
      </w:r>
      <w:r w:rsidR="004F0293" w:rsidRPr="004F0293">
        <w:t xml:space="preserve">Callaway JA in </w:t>
      </w:r>
      <w:r w:rsidR="004F0293" w:rsidRPr="00E22508">
        <w:rPr>
          <w:i/>
          <w:iCs/>
          <w:lang w:val="en-AU"/>
        </w:rPr>
        <w:t xml:space="preserve">Fletcher Construction Australia Ltd v </w:t>
      </w:r>
      <w:proofErr w:type="spellStart"/>
      <w:r w:rsidR="004F0293" w:rsidRPr="00E22508">
        <w:rPr>
          <w:i/>
          <w:iCs/>
          <w:lang w:val="en-AU"/>
        </w:rPr>
        <w:t>Varnsdorf</w:t>
      </w:r>
      <w:proofErr w:type="spellEnd"/>
      <w:r w:rsidR="004F0293" w:rsidRPr="004F0293">
        <w:t>:</w:t>
      </w:r>
      <w:r w:rsidR="0025286A">
        <w:rPr>
          <w:rStyle w:val="FootnoteReference"/>
        </w:rPr>
        <w:footnoteReference w:id="24"/>
      </w:r>
    </w:p>
    <w:p w:rsidR="004F0293" w:rsidRPr="004F0293" w:rsidRDefault="0025286A" w:rsidP="0025286A">
      <w:pPr>
        <w:pStyle w:val="Quote"/>
      </w:pPr>
      <w:r>
        <w:lastRenderedPageBreak/>
        <w:t>“</w:t>
      </w:r>
      <w:r w:rsidR="004F0293" w:rsidRPr="004F0293">
        <w:t>No implication may be made that is inconsistent with an agreed allocation of risk as to who shall be out of pocket pending resolution of a dispute and clauses in the contract that do not explicitly inhibit the beneficiary from calling upon the security should not be too readily construed to have that effect. As I have already indicated, they may simply refer to the kind of default which, if it is alleged in good faith, enables the beneficiary to have recourse to the security or its proceeds.</w:t>
      </w:r>
      <w:r w:rsidR="002B75D4">
        <w:t>”</w:t>
      </w:r>
    </w:p>
    <w:p w:rsidR="00D627E3" w:rsidRDefault="008D45C8" w:rsidP="008D45C8">
      <w:pPr>
        <w:pStyle w:val="Heading1"/>
      </w:pPr>
      <w:r>
        <w:t>Reputational harm</w:t>
      </w:r>
      <w:r w:rsidR="00FB13B2">
        <w:t>:</w:t>
      </w:r>
      <w:r>
        <w:t xml:space="preserve"> </w:t>
      </w:r>
      <w:r w:rsidR="00E02779">
        <w:t>a rational view</w:t>
      </w:r>
    </w:p>
    <w:p w:rsidR="009C701C" w:rsidRDefault="00B27018" w:rsidP="00D53838">
      <w:pPr>
        <w:spacing w:before="0" w:after="240"/>
        <w:rPr>
          <w:rFonts w:eastAsia="Times New Roman" w:cs="Arial"/>
          <w:bCs/>
          <w:lang w:val="en-AU"/>
        </w:rPr>
      </w:pPr>
      <w:r>
        <w:rPr>
          <w:rFonts w:eastAsia="Times New Roman" w:cs="Arial"/>
          <w:bCs/>
          <w:lang w:val="en-AU"/>
        </w:rPr>
        <w:t xml:space="preserve">While </w:t>
      </w:r>
      <w:r w:rsidR="009C701C">
        <w:rPr>
          <w:rFonts w:eastAsia="Times New Roman" w:cs="Arial"/>
          <w:bCs/>
          <w:lang w:val="en-AU"/>
        </w:rPr>
        <w:t xml:space="preserve">the jurisprudence in this area has seen a recognition that pleas of reputational harm are a relevant consideration on the balance of convenience (more accurately, whether damages would be an adequate remedy), more recently, </w:t>
      </w:r>
      <w:r w:rsidR="00884527">
        <w:rPr>
          <w:rFonts w:eastAsia="Times New Roman" w:cs="Arial"/>
          <w:bCs/>
          <w:lang w:val="en-AU"/>
        </w:rPr>
        <w:t xml:space="preserve">courts appear to be taking a </w:t>
      </w:r>
      <w:r w:rsidR="00D03B7C">
        <w:rPr>
          <w:rFonts w:eastAsia="Times New Roman" w:cs="Arial"/>
          <w:bCs/>
          <w:lang w:val="en-AU"/>
        </w:rPr>
        <w:t>more</w:t>
      </w:r>
      <w:r w:rsidR="00FA4BAB">
        <w:rPr>
          <w:rFonts w:eastAsia="Times New Roman" w:cs="Arial"/>
          <w:bCs/>
          <w:lang w:val="en-AU"/>
        </w:rPr>
        <w:t xml:space="preserve"> </w:t>
      </w:r>
      <w:r w:rsidR="00D03B7C">
        <w:rPr>
          <w:rFonts w:eastAsia="Times New Roman" w:cs="Arial"/>
          <w:bCs/>
          <w:lang w:val="en-AU"/>
        </w:rPr>
        <w:t>robust</w:t>
      </w:r>
      <w:r w:rsidR="00EB7643">
        <w:rPr>
          <w:rFonts w:eastAsia="Times New Roman" w:cs="Arial"/>
          <w:bCs/>
          <w:lang w:val="en-AU"/>
        </w:rPr>
        <w:t xml:space="preserve">, </w:t>
      </w:r>
      <w:r w:rsidR="00884527">
        <w:rPr>
          <w:rFonts w:eastAsia="Times New Roman" w:cs="Arial"/>
          <w:bCs/>
          <w:lang w:val="en-AU"/>
        </w:rPr>
        <w:t xml:space="preserve">and commercially </w:t>
      </w:r>
      <w:r w:rsidR="00EB7643">
        <w:rPr>
          <w:rFonts w:eastAsia="Times New Roman" w:cs="Arial"/>
          <w:bCs/>
          <w:lang w:val="en-AU"/>
        </w:rPr>
        <w:t>canny</w:t>
      </w:r>
      <w:r w:rsidR="00884527">
        <w:rPr>
          <w:rFonts w:eastAsia="Times New Roman" w:cs="Arial"/>
          <w:bCs/>
          <w:lang w:val="en-AU"/>
        </w:rPr>
        <w:t xml:space="preserve"> view of the evidence adduced in support of such claims.</w:t>
      </w:r>
      <w:r w:rsidR="00D03B7C">
        <w:rPr>
          <w:rStyle w:val="FootnoteReference"/>
          <w:rFonts w:eastAsia="Times New Roman" w:cs="Arial"/>
          <w:bCs/>
          <w:lang w:val="en-AU"/>
        </w:rPr>
        <w:footnoteReference w:id="25"/>
      </w:r>
      <w:r w:rsidR="00884527">
        <w:rPr>
          <w:rFonts w:eastAsia="Times New Roman" w:cs="Arial"/>
          <w:bCs/>
          <w:lang w:val="en-AU"/>
        </w:rPr>
        <w:t xml:space="preserve"> </w:t>
      </w:r>
    </w:p>
    <w:p w:rsidR="008D45C8" w:rsidRPr="00E33D4C" w:rsidRDefault="00E33D4C" w:rsidP="00D53838">
      <w:pPr>
        <w:spacing w:before="0" w:after="240"/>
        <w:rPr>
          <w:rFonts w:eastAsia="Times New Roman" w:cs="Arial"/>
          <w:lang w:val="en-AU"/>
        </w:rPr>
      </w:pPr>
      <w:r>
        <w:rPr>
          <w:rFonts w:eastAsia="Times New Roman" w:cs="Arial"/>
          <w:bCs/>
          <w:lang w:val="en-AU"/>
        </w:rPr>
        <w:t xml:space="preserve">In </w:t>
      </w:r>
      <w:r w:rsidR="008E5FF0">
        <w:rPr>
          <w:rFonts w:eastAsia="Times New Roman" w:cs="Arial"/>
          <w:bCs/>
          <w:lang w:val="en-AU"/>
        </w:rPr>
        <w:t xml:space="preserve">what is perhaps the most recent indication from at least one High Court judge, </w:t>
      </w:r>
      <w:r w:rsidR="00366516" w:rsidRPr="00E33D4C">
        <w:rPr>
          <w:rFonts w:eastAsia="Times New Roman" w:cs="Arial"/>
          <w:bCs/>
          <w:lang w:val="en-AU"/>
        </w:rPr>
        <w:t xml:space="preserve">Nettle </w:t>
      </w:r>
      <w:r w:rsidR="00366516">
        <w:rPr>
          <w:rFonts w:eastAsia="Times New Roman" w:cs="Arial"/>
          <w:bCs/>
          <w:lang w:val="en-AU"/>
        </w:rPr>
        <w:t xml:space="preserve">ACJ </w:t>
      </w:r>
      <w:r w:rsidR="008E5FF0">
        <w:rPr>
          <w:rFonts w:eastAsia="Times New Roman" w:cs="Arial"/>
          <w:bCs/>
          <w:lang w:val="en-AU"/>
        </w:rPr>
        <w:t xml:space="preserve">in </w:t>
      </w:r>
      <w:r>
        <w:rPr>
          <w:rFonts w:eastAsia="Times New Roman" w:cs="Arial"/>
          <w:bCs/>
          <w:lang w:val="en-AU"/>
        </w:rPr>
        <w:t xml:space="preserve">his decision in </w:t>
      </w:r>
      <w:r w:rsidRPr="00E33D4C">
        <w:rPr>
          <w:rFonts w:eastAsia="Times New Roman" w:cs="Arial"/>
          <w:bCs/>
          <w:i/>
          <w:lang w:val="en-AU"/>
        </w:rPr>
        <w:t>CPB Contractors Pty Ltd v JKC Australia LNG Pty Ltd</w:t>
      </w:r>
      <w:r>
        <w:rPr>
          <w:rFonts w:eastAsia="Times New Roman" w:cs="Arial"/>
          <w:bCs/>
          <w:lang w:val="en-AU"/>
        </w:rPr>
        <w:t xml:space="preserve">, </w:t>
      </w:r>
      <w:r w:rsidR="00CE1E26">
        <w:rPr>
          <w:rFonts w:eastAsia="Times New Roman" w:cs="Arial"/>
          <w:bCs/>
          <w:lang w:val="en-AU"/>
        </w:rPr>
        <w:t xml:space="preserve">expressed doubts </w:t>
      </w:r>
      <w:r w:rsidR="001E6534">
        <w:rPr>
          <w:rFonts w:eastAsia="Times New Roman" w:cs="Arial"/>
          <w:bCs/>
          <w:lang w:val="en-AU"/>
        </w:rPr>
        <w:t>about CBP’s claims of reputational harm in the event an injunction was not granted</w:t>
      </w:r>
      <w:r w:rsidR="00943212">
        <w:rPr>
          <w:rFonts w:eastAsia="Times New Roman" w:cs="Arial"/>
          <w:bCs/>
          <w:lang w:val="en-AU"/>
        </w:rPr>
        <w:t>:</w:t>
      </w:r>
    </w:p>
    <w:p w:rsidR="008D45C8" w:rsidRPr="00A878F6" w:rsidRDefault="00943212" w:rsidP="00943212">
      <w:pPr>
        <w:pStyle w:val="Quote"/>
        <w:rPr>
          <w:lang w:val="en-AU"/>
        </w:rPr>
      </w:pPr>
      <w:r w:rsidRPr="00A878F6">
        <w:rPr>
          <w:lang w:val="en-AU"/>
        </w:rPr>
        <w:t xml:space="preserve"> </w:t>
      </w:r>
      <w:r>
        <w:rPr>
          <w:lang w:val="en-AU"/>
        </w:rPr>
        <w:t>“</w:t>
      </w:r>
      <w:r w:rsidR="008D45C8" w:rsidRPr="00A878F6">
        <w:rPr>
          <w:lang w:val="en-AU"/>
        </w:rPr>
        <w:t xml:space="preserve">[The Subcontractor's director] said as well that a call on the bank guarantees would be an indication to “the market” that CPB cannot uphold its obligations in delivering projects. Perhaps; but I take leave to doubt it. Granted, as CPB contends, the prospect of reputational harm has been accepted as a relevant consideration by several experienced construction law judges. But each case depends on its facts. Here, it is clear from [the WASC] and the Court of Appeal’s reasons for judgment that there has not yet been a determination of CPB’s alleged substantive liability for liquidated damages – that remains to be determined in the international arbitration – and it is clear from the Court of Appeal’s reasons for judgment that their Honours’ conclusion as to the proper construction of the sub-contract is that JKC should “be in the money, to the extent of the Bank Guarantees, pending resolution of any dispute”.  If that be correct, and until and unless there is a successful appeal it must be accepted that it is correct, the fact that JKC is permitted to draw down under relevantly unconditional bank guarantees </w:t>
      </w:r>
      <w:r w:rsidR="008D45C8" w:rsidRPr="00A878F6">
        <w:rPr>
          <w:lang w:val="en-AU"/>
        </w:rPr>
        <w:lastRenderedPageBreak/>
        <w:t>pending determination of the issue of substantive liability can hardly be seen as reflecting on CPB’s performance or, therefore, reputation as a contractor.</w:t>
      </w:r>
    </w:p>
    <w:p w:rsidR="00FB13B2" w:rsidRPr="00FB13B2" w:rsidRDefault="008E5FF0" w:rsidP="00FB13B2">
      <w:pPr>
        <w:spacing w:after="240"/>
        <w:rPr>
          <w:lang w:val="en-AU"/>
        </w:rPr>
      </w:pPr>
      <w:r>
        <w:rPr>
          <w:lang w:val="en-AU"/>
        </w:rPr>
        <w:t>Further, his Honour observed</w:t>
      </w:r>
      <w:r w:rsidR="00366516">
        <w:rPr>
          <w:lang w:val="en-AU"/>
        </w:rPr>
        <w:t>,</w:t>
      </w:r>
      <w:r>
        <w:rPr>
          <w:lang w:val="en-AU"/>
        </w:rPr>
        <w:t xml:space="preserve"> </w:t>
      </w:r>
      <w:r w:rsidR="00366516">
        <w:rPr>
          <w:lang w:val="en-AU"/>
        </w:rPr>
        <w:t>as had</w:t>
      </w:r>
      <w:r w:rsidR="00FB13B2" w:rsidRPr="00FB13B2">
        <w:rPr>
          <w:lang w:val="en-AU"/>
        </w:rPr>
        <w:t xml:space="preserve"> the Court of Appeal, </w:t>
      </w:r>
      <w:r w:rsidR="00366516">
        <w:rPr>
          <w:lang w:val="en-AU"/>
        </w:rPr>
        <w:t>that it wa</w:t>
      </w:r>
      <w:r w:rsidR="00FB13B2" w:rsidRPr="00FB13B2">
        <w:rPr>
          <w:lang w:val="en-AU"/>
        </w:rPr>
        <w:t xml:space="preserve">s open to CPB to avoid </w:t>
      </w:r>
      <w:r w:rsidR="00366516">
        <w:rPr>
          <w:lang w:val="en-AU"/>
        </w:rPr>
        <w:t xml:space="preserve">the </w:t>
      </w:r>
      <w:r w:rsidR="00FB13B2" w:rsidRPr="00FB13B2">
        <w:rPr>
          <w:lang w:val="en-AU"/>
        </w:rPr>
        <w:t>risk of reputational damage by tendering a sum equal to the amount of the claim, on account, in substitution for the amount payable under the bank guarantees</w:t>
      </w:r>
      <w:r w:rsidR="00366516">
        <w:rPr>
          <w:lang w:val="en-AU"/>
        </w:rPr>
        <w:t>.</w:t>
      </w:r>
      <w:r w:rsidR="00F97F65">
        <w:rPr>
          <w:rStyle w:val="FootnoteReference"/>
          <w:lang w:val="en-AU"/>
        </w:rPr>
        <w:footnoteReference w:id="26"/>
      </w:r>
    </w:p>
    <w:p w:rsidR="00FB13B2" w:rsidRDefault="007E2F55" w:rsidP="007E2F55">
      <w:pPr>
        <w:pStyle w:val="Heading1"/>
        <w:rPr>
          <w:lang w:val="en-AU"/>
        </w:rPr>
      </w:pPr>
      <w:r>
        <w:rPr>
          <w:lang w:val="en-AU"/>
        </w:rPr>
        <w:t>Conclusion</w:t>
      </w:r>
    </w:p>
    <w:p w:rsidR="00DE46A9" w:rsidRDefault="003B1FFF" w:rsidP="00FB13B2">
      <w:pPr>
        <w:spacing w:after="240"/>
        <w:rPr>
          <w:lang w:val="en-AU"/>
        </w:rPr>
      </w:pPr>
      <w:r>
        <w:rPr>
          <w:lang w:val="en-AU"/>
        </w:rPr>
        <w:t xml:space="preserve">While it may be superficially attractive to attempt to </w:t>
      </w:r>
      <w:r w:rsidR="00064E05">
        <w:rPr>
          <w:lang w:val="en-AU"/>
        </w:rPr>
        <w:t>explain</w:t>
      </w:r>
      <w:r>
        <w:rPr>
          <w:lang w:val="en-AU"/>
        </w:rPr>
        <w:t xml:space="preserve"> the seemingly different approaches discussed above by reference to traditional versus contempora</w:t>
      </w:r>
      <w:r w:rsidR="00064E05">
        <w:rPr>
          <w:lang w:val="en-AU"/>
        </w:rPr>
        <w:t xml:space="preserve">ry preferences, or parochial </w:t>
      </w:r>
      <w:r w:rsidR="0037678A">
        <w:rPr>
          <w:lang w:val="en-AU"/>
        </w:rPr>
        <w:t xml:space="preserve">tensions between different States, a more sombre analysis reveals </w:t>
      </w:r>
      <w:r w:rsidR="00DE46A9">
        <w:rPr>
          <w:lang w:val="en-AU"/>
        </w:rPr>
        <w:t xml:space="preserve">that, in truth, </w:t>
      </w:r>
      <w:r w:rsidR="0037678A">
        <w:rPr>
          <w:lang w:val="en-AU"/>
        </w:rPr>
        <w:t xml:space="preserve">there are </w:t>
      </w:r>
      <w:r w:rsidR="00BF413D">
        <w:rPr>
          <w:lang w:val="en-AU"/>
        </w:rPr>
        <w:t>few if any</w:t>
      </w:r>
      <w:r w:rsidR="0037678A">
        <w:rPr>
          <w:lang w:val="en-AU"/>
        </w:rPr>
        <w:t xml:space="preserve"> </w:t>
      </w:r>
      <w:r w:rsidR="00DE46A9">
        <w:rPr>
          <w:lang w:val="en-AU"/>
        </w:rPr>
        <w:t>organic differences in judicial approach to these applications.</w:t>
      </w:r>
    </w:p>
    <w:p w:rsidR="007E2F55" w:rsidRDefault="002516FE" w:rsidP="00FB13B2">
      <w:pPr>
        <w:spacing w:after="240"/>
        <w:rPr>
          <w:lang w:val="en-AU"/>
        </w:rPr>
      </w:pPr>
      <w:r>
        <w:rPr>
          <w:lang w:val="en-AU"/>
        </w:rPr>
        <w:t>The rules for construction of contractual provisions have been developed consistently by the High Court throughout the years.</w:t>
      </w:r>
    </w:p>
    <w:p w:rsidR="002516FE" w:rsidRDefault="002516FE" w:rsidP="00FB13B2">
      <w:pPr>
        <w:spacing w:after="240"/>
        <w:rPr>
          <w:lang w:val="en-AU"/>
        </w:rPr>
      </w:pPr>
      <w:r>
        <w:rPr>
          <w:lang w:val="en-AU"/>
        </w:rPr>
        <w:t xml:space="preserve">The </w:t>
      </w:r>
      <w:r w:rsidR="00987C5F">
        <w:rPr>
          <w:lang w:val="en-AU"/>
        </w:rPr>
        <w:t>significance</w:t>
      </w:r>
      <w:r>
        <w:rPr>
          <w:lang w:val="en-AU"/>
        </w:rPr>
        <w:t xml:space="preserve"> of bank guarantees as being (intended to be) as good as cash has never been rejected.</w:t>
      </w:r>
    </w:p>
    <w:p w:rsidR="002516FE" w:rsidRDefault="00AD4F10" w:rsidP="00FB13B2">
      <w:pPr>
        <w:spacing w:after="240"/>
        <w:rPr>
          <w:lang w:val="en-AU"/>
        </w:rPr>
      </w:pPr>
      <w:r>
        <w:rPr>
          <w:lang w:val="en-AU"/>
        </w:rPr>
        <w:t>The purpose for which the securities are to be provided under the relevant contracts –for performance or risk allocation devic</w:t>
      </w:r>
      <w:r w:rsidR="00BF413D">
        <w:rPr>
          <w:lang w:val="en-AU"/>
        </w:rPr>
        <w:t>es as to whom is to be out of po</w:t>
      </w:r>
      <w:r>
        <w:rPr>
          <w:lang w:val="en-AU"/>
        </w:rPr>
        <w:t>cket pending determination</w:t>
      </w:r>
      <w:r w:rsidR="00474C9E">
        <w:rPr>
          <w:lang w:val="en-AU"/>
        </w:rPr>
        <w:t xml:space="preserve"> of the underlying dispute/s -</w:t>
      </w:r>
      <w:r w:rsidR="002516FE">
        <w:rPr>
          <w:lang w:val="en-AU"/>
        </w:rPr>
        <w:t xml:space="preserve"> </w:t>
      </w:r>
      <w:r>
        <w:rPr>
          <w:lang w:val="en-AU"/>
        </w:rPr>
        <w:t>has always been and remains of importance</w:t>
      </w:r>
      <w:r w:rsidR="00987C5F">
        <w:rPr>
          <w:lang w:val="en-AU"/>
        </w:rPr>
        <w:t xml:space="preserve"> in any construction exercise</w:t>
      </w:r>
      <w:r>
        <w:rPr>
          <w:lang w:val="en-AU"/>
        </w:rPr>
        <w:t>.</w:t>
      </w:r>
    </w:p>
    <w:p w:rsidR="00AD4F10" w:rsidRDefault="00987C5F" w:rsidP="00FB13B2">
      <w:pPr>
        <w:spacing w:after="240"/>
        <w:rPr>
          <w:lang w:val="en-AU"/>
        </w:rPr>
      </w:pPr>
      <w:r>
        <w:rPr>
          <w:lang w:val="en-AU"/>
        </w:rPr>
        <w:t>However, t</w:t>
      </w:r>
      <w:r w:rsidR="00474C9E">
        <w:rPr>
          <w:lang w:val="en-AU"/>
        </w:rPr>
        <w:t>he real difference</w:t>
      </w:r>
      <w:r>
        <w:rPr>
          <w:lang w:val="en-AU"/>
        </w:rPr>
        <w:t>, it is submitted,</w:t>
      </w:r>
      <w:r w:rsidR="00474C9E">
        <w:rPr>
          <w:lang w:val="en-AU"/>
        </w:rPr>
        <w:t xml:space="preserve"> </w:t>
      </w:r>
      <w:r w:rsidR="004D40CE">
        <w:rPr>
          <w:lang w:val="en-AU"/>
        </w:rPr>
        <w:t xml:space="preserve">is the way in which contract drafting has </w:t>
      </w:r>
      <w:r w:rsidR="00C602B7">
        <w:rPr>
          <w:lang w:val="en-AU"/>
        </w:rPr>
        <w:t xml:space="preserve">evolved over the last 10 to 20 years. </w:t>
      </w:r>
      <w:r w:rsidR="00BF413D">
        <w:rPr>
          <w:lang w:val="en-AU"/>
        </w:rPr>
        <w:t>K</w:t>
      </w:r>
      <w:r w:rsidR="00C602B7">
        <w:rPr>
          <w:lang w:val="en-AU"/>
        </w:rPr>
        <w:t xml:space="preserve">ey phrases governing </w:t>
      </w:r>
      <w:r w:rsidR="00474C9E">
        <w:rPr>
          <w:lang w:val="en-AU"/>
        </w:rPr>
        <w:t xml:space="preserve">entitlement to recourse </w:t>
      </w:r>
      <w:r w:rsidR="00C602B7">
        <w:rPr>
          <w:lang w:val="en-AU"/>
        </w:rPr>
        <w:t xml:space="preserve">such as </w:t>
      </w:r>
      <w:r w:rsidR="00474C9E">
        <w:rPr>
          <w:lang w:val="en-AU"/>
        </w:rPr>
        <w:t>“</w:t>
      </w:r>
      <w:r w:rsidR="00474C9E" w:rsidRPr="002E696B">
        <w:rPr>
          <w:i/>
          <w:lang w:val="en-AU"/>
        </w:rPr>
        <w:t>become</w:t>
      </w:r>
      <w:r w:rsidR="002E696B" w:rsidRPr="002E696B">
        <w:rPr>
          <w:i/>
          <w:lang w:val="en-AU"/>
        </w:rPr>
        <w:t>s</w:t>
      </w:r>
      <w:r w:rsidR="00474C9E" w:rsidRPr="002E696B">
        <w:rPr>
          <w:i/>
          <w:lang w:val="en-AU"/>
        </w:rPr>
        <w:t xml:space="preserve"> entitled to exercise a right under the Contract</w:t>
      </w:r>
      <w:r w:rsidR="00474C9E">
        <w:rPr>
          <w:lang w:val="en-AU"/>
        </w:rPr>
        <w:t>” vs “</w:t>
      </w:r>
      <w:r w:rsidR="00474C9E" w:rsidRPr="002E696B">
        <w:rPr>
          <w:i/>
          <w:lang w:val="en-AU"/>
        </w:rPr>
        <w:t>to recover amounts payable on demand</w:t>
      </w:r>
      <w:r w:rsidR="00474C9E">
        <w:rPr>
          <w:lang w:val="en-AU"/>
        </w:rPr>
        <w:t>” vs “</w:t>
      </w:r>
      <w:r w:rsidR="0048150C" w:rsidRPr="006950B0">
        <w:rPr>
          <w:i/>
        </w:rPr>
        <w:t>remains unpaid after the time for payment</w:t>
      </w:r>
      <w:r w:rsidR="002E696B">
        <w:t>” vs “a</w:t>
      </w:r>
      <w:r w:rsidR="002E696B" w:rsidRPr="006950B0">
        <w:rPr>
          <w:i/>
        </w:rPr>
        <w:t>ny amounts due and payable</w:t>
      </w:r>
      <w:r w:rsidR="002E696B">
        <w:t xml:space="preserve">”, to name but a few, </w:t>
      </w:r>
      <w:r w:rsidR="006950B0">
        <w:rPr>
          <w:lang w:val="en-AU"/>
        </w:rPr>
        <w:t>are</w:t>
      </w:r>
      <w:r>
        <w:rPr>
          <w:lang w:val="en-AU"/>
        </w:rPr>
        <w:t xml:space="preserve"> </w:t>
      </w:r>
      <w:r w:rsidR="00474C9E">
        <w:rPr>
          <w:lang w:val="en-AU"/>
        </w:rPr>
        <w:t>at the heart of any controversy in this area</w:t>
      </w:r>
      <w:r w:rsidR="006950B0">
        <w:rPr>
          <w:lang w:val="en-AU"/>
        </w:rPr>
        <w:t xml:space="preserve">.  </w:t>
      </w:r>
    </w:p>
    <w:p w:rsidR="006950B0" w:rsidRDefault="006950B0" w:rsidP="00FB13B2">
      <w:pPr>
        <w:spacing w:after="240"/>
        <w:rPr>
          <w:lang w:val="en-AU"/>
        </w:rPr>
      </w:pPr>
      <w:r>
        <w:rPr>
          <w:lang w:val="en-AU"/>
        </w:rPr>
        <w:lastRenderedPageBreak/>
        <w:t xml:space="preserve">Such drafting </w:t>
      </w:r>
      <w:r w:rsidR="006535B2">
        <w:rPr>
          <w:lang w:val="en-AU"/>
        </w:rPr>
        <w:t>efforts, whether by adoption of standard form contracts or amendments thereto or entirely bespoke provisions, reflect the modern commercial struggle between the interests of beneficiaries (</w:t>
      </w:r>
      <w:r w:rsidR="004E25F0">
        <w:rPr>
          <w:lang w:val="en-AU"/>
        </w:rPr>
        <w:t xml:space="preserve">Principals or head contractors </w:t>
      </w:r>
      <w:r w:rsidR="006535B2">
        <w:rPr>
          <w:lang w:val="en-AU"/>
        </w:rPr>
        <w:t xml:space="preserve">who want easy recourse) and </w:t>
      </w:r>
      <w:r w:rsidR="004E25F0">
        <w:rPr>
          <w:lang w:val="en-AU"/>
        </w:rPr>
        <w:t xml:space="preserve">account parties (contractors or subcontractors who want recourse to be more difficult) and their respective bargaining powers. </w:t>
      </w:r>
    </w:p>
    <w:p w:rsidR="00954551" w:rsidRDefault="00A7146B" w:rsidP="00FB13B2">
      <w:pPr>
        <w:spacing w:after="240"/>
        <w:rPr>
          <w:lang w:val="en-AU"/>
        </w:rPr>
      </w:pPr>
      <w:r>
        <w:rPr>
          <w:lang w:val="en-AU"/>
        </w:rPr>
        <w:t xml:space="preserve">It remains incumbent on the courts to balance those competing interests and measures </w:t>
      </w:r>
      <w:r w:rsidR="00987C5F">
        <w:rPr>
          <w:lang w:val="en-AU"/>
        </w:rPr>
        <w:t>and preserve</w:t>
      </w:r>
      <w:r>
        <w:rPr>
          <w:lang w:val="en-AU"/>
        </w:rPr>
        <w:t xml:space="preserve"> the commercial currency and certainty of performance securities</w:t>
      </w:r>
      <w:r w:rsidR="003839A2">
        <w:rPr>
          <w:lang w:val="en-AU"/>
        </w:rPr>
        <w:t>,</w:t>
      </w:r>
      <w:r>
        <w:rPr>
          <w:lang w:val="en-AU"/>
        </w:rPr>
        <w:t xml:space="preserve"> </w:t>
      </w:r>
      <w:r w:rsidR="00C06ED5">
        <w:rPr>
          <w:lang w:val="en-AU"/>
        </w:rPr>
        <w:t xml:space="preserve">by the consistent application of principle aimed ultimately </w:t>
      </w:r>
      <w:r w:rsidR="00987C5F">
        <w:rPr>
          <w:lang w:val="en-AU"/>
        </w:rPr>
        <w:t>at</w:t>
      </w:r>
      <w:r w:rsidR="00C06ED5">
        <w:rPr>
          <w:lang w:val="en-AU"/>
        </w:rPr>
        <w:t xml:space="preserve"> keeping parties to their </w:t>
      </w:r>
      <w:r w:rsidR="003839A2">
        <w:rPr>
          <w:lang w:val="en-AU"/>
        </w:rPr>
        <w:t xml:space="preserve">‘real’ </w:t>
      </w:r>
      <w:r w:rsidR="00C06ED5">
        <w:rPr>
          <w:lang w:val="en-AU"/>
        </w:rPr>
        <w:t xml:space="preserve">bargain. </w:t>
      </w:r>
    </w:p>
    <w:p w:rsidR="00A7146B" w:rsidRPr="00FB13B2" w:rsidRDefault="00F25884" w:rsidP="00FB13B2">
      <w:pPr>
        <w:spacing w:after="240"/>
        <w:rPr>
          <w:lang w:val="en-AU"/>
        </w:rPr>
      </w:pPr>
      <w:r>
        <w:rPr>
          <w:lang w:val="en-AU"/>
        </w:rPr>
        <w:t xml:space="preserve">The above decisions demonstrate the potential danger in </w:t>
      </w:r>
      <w:r w:rsidR="00F66306">
        <w:rPr>
          <w:lang w:val="en-AU"/>
        </w:rPr>
        <w:t>affording drafting devices such prominence</w:t>
      </w:r>
      <w:r w:rsidR="001E16FC">
        <w:rPr>
          <w:lang w:val="en-AU"/>
        </w:rPr>
        <w:t xml:space="preserve"> in analysis, thereby</w:t>
      </w:r>
      <w:r w:rsidR="00D733FA">
        <w:rPr>
          <w:lang w:val="en-AU"/>
        </w:rPr>
        <w:t xml:space="preserve"> requiring a court</w:t>
      </w:r>
      <w:r w:rsidR="001E16FC">
        <w:rPr>
          <w:lang w:val="en-AU"/>
        </w:rPr>
        <w:t xml:space="preserve"> to go looking for ‘implied’ restrictions on recourse</w:t>
      </w:r>
      <w:r w:rsidR="00D733FA">
        <w:rPr>
          <w:lang w:val="en-AU"/>
        </w:rPr>
        <w:t>, which can ultimately</w:t>
      </w:r>
      <w:r w:rsidR="00F66306">
        <w:rPr>
          <w:lang w:val="en-AU"/>
        </w:rPr>
        <w:t xml:space="preserve"> outweigh and compromise the fundamental reason</w:t>
      </w:r>
      <w:r w:rsidR="001E16FC">
        <w:rPr>
          <w:lang w:val="en-AU"/>
        </w:rPr>
        <w:t>/s</w:t>
      </w:r>
      <w:r w:rsidR="00F66306">
        <w:rPr>
          <w:lang w:val="en-AU"/>
        </w:rPr>
        <w:t xml:space="preserve"> for the provision of security</w:t>
      </w:r>
      <w:r w:rsidR="00954551">
        <w:rPr>
          <w:lang w:val="en-AU"/>
        </w:rPr>
        <w:t xml:space="preserve"> in the first place</w:t>
      </w:r>
      <w:r w:rsidR="00F66306">
        <w:rPr>
          <w:lang w:val="en-AU"/>
        </w:rPr>
        <w:t>.</w:t>
      </w:r>
    </w:p>
    <w:p w:rsidR="00D627E3" w:rsidRPr="00D627E3" w:rsidRDefault="00D627E3" w:rsidP="00886E27">
      <w:pPr>
        <w:spacing w:after="240"/>
      </w:pPr>
    </w:p>
    <w:sectPr w:rsidR="00D627E3" w:rsidRPr="00D627E3" w:rsidSect="00C83913">
      <w:headerReference w:type="even" r:id="rId7"/>
      <w:headerReference w:type="default" r:id="rId8"/>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29" w:rsidRDefault="00D33229" w:rsidP="00671089">
      <w:pPr>
        <w:spacing w:before="0" w:after="0" w:line="240" w:lineRule="auto"/>
      </w:pPr>
      <w:r>
        <w:separator/>
      </w:r>
    </w:p>
  </w:endnote>
  <w:endnote w:type="continuationSeparator" w:id="0">
    <w:p w:rsidR="00D33229" w:rsidRDefault="00D33229" w:rsidP="006710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29" w:rsidRDefault="00D33229" w:rsidP="00671089">
      <w:pPr>
        <w:spacing w:before="0" w:after="0" w:line="240" w:lineRule="auto"/>
      </w:pPr>
      <w:r>
        <w:separator/>
      </w:r>
    </w:p>
  </w:footnote>
  <w:footnote w:type="continuationSeparator" w:id="0">
    <w:p w:rsidR="00D33229" w:rsidRDefault="00D33229" w:rsidP="00671089">
      <w:pPr>
        <w:spacing w:before="0" w:after="0" w:line="240" w:lineRule="auto"/>
      </w:pPr>
      <w:r>
        <w:continuationSeparator/>
      </w:r>
    </w:p>
  </w:footnote>
  <w:footnote w:id="1">
    <w:p w:rsidR="00DF7CD2" w:rsidRDefault="00DF7CD2" w:rsidP="00B61043">
      <w:pPr>
        <w:pStyle w:val="FootnoteText"/>
        <w:rPr>
          <w:lang w:val="en-AU"/>
        </w:rPr>
      </w:pPr>
      <w:r>
        <w:rPr>
          <w:rStyle w:val="FootnoteReference"/>
        </w:rPr>
        <w:footnoteRef/>
      </w:r>
      <w:r>
        <w:t xml:space="preserve"> </w:t>
      </w:r>
      <w:r w:rsidRPr="00B61043">
        <w:t>“</w:t>
      </w:r>
      <w:r w:rsidRPr="00B61043">
        <w:rPr>
          <w:i/>
          <w:lang w:val="en-AU"/>
        </w:rPr>
        <w:t xml:space="preserve">Calling on a Performance Security: As Good </w:t>
      </w:r>
      <w:proofErr w:type="gramStart"/>
      <w:r w:rsidRPr="00B61043">
        <w:rPr>
          <w:i/>
          <w:lang w:val="en-AU"/>
        </w:rPr>
        <w:t>As</w:t>
      </w:r>
      <w:proofErr w:type="gramEnd"/>
      <w:r w:rsidRPr="00B61043">
        <w:rPr>
          <w:i/>
          <w:lang w:val="en-AU"/>
        </w:rPr>
        <w:t xml:space="preserve"> Cash?”</w:t>
      </w:r>
      <w:r w:rsidRPr="00B61043">
        <w:rPr>
          <w:lang w:val="en-AU"/>
        </w:rPr>
        <w:t xml:space="preserve"> 18 June 2013 - http://208.76.83.195/~mtecccom/wp-content/uploads/2015/10/Michael_Whitten_CALLING_ON_A_PERFORMANCE_GUARANTEE.pdf </w:t>
      </w:r>
    </w:p>
    <w:p w:rsidR="00DF7CD2" w:rsidRPr="00B61043" w:rsidRDefault="00DF7CD2" w:rsidP="00B61043">
      <w:pPr>
        <w:pStyle w:val="FootnoteText"/>
        <w:rPr>
          <w:lang w:val="en-AU"/>
        </w:rPr>
      </w:pPr>
      <w:r w:rsidRPr="00B61043">
        <w:rPr>
          <w:lang w:val="en-AU"/>
        </w:rPr>
        <w:t>“</w:t>
      </w:r>
      <w:r w:rsidRPr="00B61043">
        <w:rPr>
          <w:i/>
          <w:lang w:val="en-AU"/>
        </w:rPr>
        <w:t>Recourse to Securities: Reputational Harm – Does it always tip the scales?”</w:t>
      </w:r>
      <w:r w:rsidRPr="00B61043">
        <w:rPr>
          <w:lang w:val="en-AU"/>
        </w:rPr>
        <w:t xml:space="preserve"> April 2016</w:t>
      </w:r>
    </w:p>
    <w:p w:rsidR="00DF7CD2" w:rsidRDefault="00522242" w:rsidP="005E7F56">
      <w:pPr>
        <w:pStyle w:val="FootnoteText"/>
      </w:pPr>
      <w:hyperlink r:id="rId1" w:history="1">
        <w:r w:rsidRPr="00DF3D29">
          <w:rPr>
            <w:rStyle w:val="Hyperlink"/>
          </w:rPr>
          <w:t>https://mtecc.com.au/recourse-to-securities-reputational-harm/</w:t>
        </w:r>
      </w:hyperlink>
    </w:p>
    <w:p w:rsidR="00522242" w:rsidRDefault="00522242" w:rsidP="005E7F56">
      <w:pPr>
        <w:pStyle w:val="FootnoteText"/>
      </w:pPr>
    </w:p>
    <w:p w:rsidR="00522242" w:rsidRPr="00B61043" w:rsidRDefault="00522242" w:rsidP="005E7F56">
      <w:pPr>
        <w:pStyle w:val="FootnoteText"/>
        <w:rPr>
          <w:lang w:val="en-AU"/>
        </w:rPr>
      </w:pPr>
      <w:r>
        <w:t xml:space="preserve">I would like to acknowledge and thank </w:t>
      </w:r>
      <w:proofErr w:type="spellStart"/>
      <w:r>
        <w:t>Ms</w:t>
      </w:r>
      <w:proofErr w:type="spellEnd"/>
      <w:r>
        <w:t xml:space="preserve"> </w:t>
      </w:r>
      <w:proofErr w:type="spellStart"/>
      <w:r>
        <w:t>Jennika</w:t>
      </w:r>
      <w:proofErr w:type="spellEnd"/>
      <w:r>
        <w:t xml:space="preserve"> Anthony-Shaw </w:t>
      </w:r>
      <w:r w:rsidR="0090366B">
        <w:t xml:space="preserve">of the Victorian Bar and </w:t>
      </w:r>
      <w:r>
        <w:t>member of MTECC for her most valuable research and contribution to the preparation and presentation of this paper.</w:t>
      </w:r>
    </w:p>
    <w:p w:rsidR="00DF7CD2" w:rsidRDefault="00DF7CD2" w:rsidP="005E7F56">
      <w:pPr>
        <w:pStyle w:val="FootnoteText"/>
      </w:pPr>
    </w:p>
  </w:footnote>
  <w:footnote w:id="2">
    <w:p w:rsidR="00DF7CD2" w:rsidRPr="00105B08" w:rsidRDefault="00DF7CD2" w:rsidP="00671089">
      <w:pPr>
        <w:pStyle w:val="FootnoteText"/>
        <w:rPr>
          <w:lang w:val="en-AU"/>
        </w:rPr>
      </w:pPr>
      <w:r w:rsidRPr="00E97012">
        <w:rPr>
          <w:rStyle w:val="FootnoteReference"/>
          <w:szCs w:val="20"/>
        </w:rPr>
        <w:footnoteRef/>
      </w:r>
      <w:r w:rsidRPr="00E97012">
        <w:t xml:space="preserve"> </w:t>
      </w:r>
      <w:r w:rsidRPr="00105B08">
        <w:rPr>
          <w:i/>
          <w:lang w:val="en-AU"/>
        </w:rPr>
        <w:t xml:space="preserve">Castlemaine </w:t>
      </w:r>
      <w:proofErr w:type="spellStart"/>
      <w:r w:rsidRPr="00105B08">
        <w:rPr>
          <w:i/>
          <w:lang w:val="en-AU"/>
        </w:rPr>
        <w:t>Tooheys</w:t>
      </w:r>
      <w:proofErr w:type="spellEnd"/>
      <w:r w:rsidRPr="00105B08">
        <w:rPr>
          <w:i/>
          <w:lang w:val="en-AU"/>
        </w:rPr>
        <w:t xml:space="preserve"> Ltd v State of South Australia</w:t>
      </w:r>
      <w:r w:rsidRPr="00E97012">
        <w:rPr>
          <w:lang w:val="en-AU"/>
        </w:rPr>
        <w:t xml:space="preserve"> (1986) 161 CLR 148, 153</w:t>
      </w:r>
      <w:r>
        <w:rPr>
          <w:lang w:val="en-AU"/>
        </w:rPr>
        <w:t>.</w:t>
      </w:r>
      <w:r w:rsidRPr="00E97012">
        <w:rPr>
          <w:lang w:val="en-AU"/>
        </w:rPr>
        <w:t> </w:t>
      </w:r>
    </w:p>
  </w:footnote>
  <w:footnote w:id="3">
    <w:p w:rsidR="00DF7CD2" w:rsidRPr="008A17C4" w:rsidRDefault="00DF7CD2" w:rsidP="00DA5D60">
      <w:pPr>
        <w:pStyle w:val="FootnoteText"/>
        <w:rPr>
          <w:b/>
          <w:bCs/>
          <w:sz w:val="24"/>
          <w:lang w:val="en-AU"/>
        </w:rPr>
      </w:pPr>
      <w:r>
        <w:rPr>
          <w:rStyle w:val="FootnoteReference"/>
        </w:rPr>
        <w:footnoteRef/>
      </w:r>
      <w:r>
        <w:t xml:space="preserve"> </w:t>
      </w:r>
      <w:r w:rsidRPr="00105B08">
        <w:rPr>
          <w:bCs/>
          <w:lang w:val="en-AU"/>
        </w:rPr>
        <w:t>[2006] VSCA 89</w:t>
      </w:r>
      <w:r>
        <w:rPr>
          <w:bCs/>
          <w:lang w:val="en-AU"/>
        </w:rPr>
        <w:t xml:space="preserve"> at [35].</w:t>
      </w:r>
    </w:p>
  </w:footnote>
  <w:footnote w:id="4">
    <w:p w:rsidR="00DF7CD2" w:rsidRDefault="00DF7CD2">
      <w:pPr>
        <w:pStyle w:val="FootnoteText"/>
      </w:pPr>
      <w:r>
        <w:rPr>
          <w:rStyle w:val="FootnoteReference"/>
        </w:rPr>
        <w:footnoteRef/>
      </w:r>
      <w:r>
        <w:t xml:space="preserve"> </w:t>
      </w:r>
      <w:r w:rsidRPr="008A17C4">
        <w:rPr>
          <w:i/>
          <w:lang w:val="en-AU"/>
        </w:rPr>
        <w:t>Wood Hall Ltd v The Pipeline Authority</w:t>
      </w:r>
      <w:r w:rsidRPr="008A17C4">
        <w:rPr>
          <w:lang w:val="en-AU"/>
        </w:rPr>
        <w:t xml:space="preserve"> (1979) 141 CLR 443; </w:t>
      </w:r>
      <w:r w:rsidRPr="008A17C4">
        <w:rPr>
          <w:i/>
          <w:lang w:val="en-AU"/>
        </w:rPr>
        <w:t>Olex Focas Pty Ltd v Skodaexport Co Ltd</w:t>
      </w:r>
      <w:r>
        <w:rPr>
          <w:lang w:val="en-AU"/>
        </w:rPr>
        <w:t xml:space="preserve"> </w:t>
      </w:r>
      <w:r w:rsidRPr="008A17C4">
        <w:rPr>
          <w:lang w:val="en-AU"/>
        </w:rPr>
        <w:t xml:space="preserve">[1997] ATPR (Digest) [46-163]; </w:t>
      </w:r>
      <w:r w:rsidRPr="008A17C4">
        <w:rPr>
          <w:i/>
          <w:lang w:val="en-AU"/>
        </w:rPr>
        <w:t xml:space="preserve">Reed Construction Services Pty Ltd v </w:t>
      </w:r>
      <w:proofErr w:type="spellStart"/>
      <w:r w:rsidRPr="008A17C4">
        <w:rPr>
          <w:i/>
          <w:lang w:val="en-AU"/>
        </w:rPr>
        <w:t>Kheng</w:t>
      </w:r>
      <w:proofErr w:type="spellEnd"/>
      <w:r w:rsidRPr="008A17C4">
        <w:rPr>
          <w:i/>
          <w:lang w:val="en-AU"/>
        </w:rPr>
        <w:t xml:space="preserve"> Seng (Australia) Pty Lt</w:t>
      </w:r>
      <w:r w:rsidRPr="008A17C4">
        <w:rPr>
          <w:lang w:val="en-AU"/>
        </w:rPr>
        <w:t xml:space="preserve">d (1999) 15 BCL 158; </w:t>
      </w:r>
      <w:r w:rsidRPr="008A17C4">
        <w:rPr>
          <w:i/>
          <w:lang w:val="en-AU"/>
        </w:rPr>
        <w:t xml:space="preserve">Bachmann Pty Ltd v BHP Power New Zealand Ltd [1999] 1 VR 420 and Fletcher Construction Australia Limited v </w:t>
      </w:r>
      <w:proofErr w:type="spellStart"/>
      <w:r w:rsidRPr="008A17C4">
        <w:rPr>
          <w:i/>
          <w:lang w:val="en-AU"/>
        </w:rPr>
        <w:t>Varnsdorf</w:t>
      </w:r>
      <w:proofErr w:type="spellEnd"/>
      <w:r w:rsidRPr="008A17C4">
        <w:rPr>
          <w:i/>
          <w:lang w:val="en-AU"/>
        </w:rPr>
        <w:t xml:space="preserve"> Pty Ltd</w:t>
      </w:r>
      <w:r>
        <w:rPr>
          <w:lang w:val="en-AU"/>
        </w:rPr>
        <w:t xml:space="preserve"> [1998] 3 VR 812; </w:t>
      </w:r>
      <w:r w:rsidRPr="008A17C4">
        <w:rPr>
          <w:i/>
          <w:lang w:val="en-AU"/>
        </w:rPr>
        <w:t>Boral Formwork &amp; Scaffolding Pty Ltd v Action Makers Ltd</w:t>
      </w:r>
      <w:r w:rsidRPr="008A17C4">
        <w:rPr>
          <w:lang w:val="en-AU"/>
        </w:rPr>
        <w:t xml:space="preserve"> [2003] NSWSC 713</w:t>
      </w:r>
      <w:r>
        <w:rPr>
          <w:lang w:val="en-AU"/>
        </w:rPr>
        <w:t xml:space="preserve">; </w:t>
      </w:r>
      <w:r w:rsidRPr="008A17C4">
        <w:rPr>
          <w:lang w:val="en-AU"/>
        </w:rPr>
        <w:t xml:space="preserve"> </w:t>
      </w:r>
      <w:proofErr w:type="spellStart"/>
      <w:r w:rsidRPr="008A17C4">
        <w:rPr>
          <w:i/>
          <w:lang w:val="en-AU"/>
        </w:rPr>
        <w:t>Vos</w:t>
      </w:r>
      <w:proofErr w:type="spellEnd"/>
      <w:r w:rsidRPr="008A17C4">
        <w:rPr>
          <w:i/>
          <w:lang w:val="en-AU"/>
        </w:rPr>
        <w:t xml:space="preserve"> Construction &amp; Joinery Qld Pty Ltd v Sanctuary Properties Pty Ltd &amp; Anor</w:t>
      </w:r>
      <w:r w:rsidRPr="008A17C4">
        <w:rPr>
          <w:lang w:val="en-AU"/>
        </w:rPr>
        <w:t xml:space="preserve"> [2007] QSC 332.</w:t>
      </w:r>
    </w:p>
  </w:footnote>
  <w:footnote w:id="5">
    <w:p w:rsidR="00DF7CD2" w:rsidRDefault="00DF7CD2">
      <w:pPr>
        <w:pStyle w:val="FootnoteText"/>
      </w:pPr>
      <w:r>
        <w:rPr>
          <w:rStyle w:val="FootnoteReference"/>
        </w:rPr>
        <w:footnoteRef/>
      </w:r>
      <w:r>
        <w:t xml:space="preserve"> </w:t>
      </w:r>
      <w:r w:rsidRPr="0047558C">
        <w:rPr>
          <w:bCs/>
          <w:lang w:val="en-AU"/>
        </w:rPr>
        <w:t>[2016] HCA 47 at [88]</w:t>
      </w:r>
    </w:p>
  </w:footnote>
  <w:footnote w:id="6">
    <w:p w:rsidR="00E72BCD" w:rsidRDefault="00E72BCD">
      <w:pPr>
        <w:pStyle w:val="FootnoteText"/>
      </w:pPr>
      <w:r>
        <w:rPr>
          <w:rStyle w:val="FootnoteReference"/>
        </w:rPr>
        <w:footnoteRef/>
      </w:r>
      <w:r>
        <w:t xml:space="preserve"> For a rare case involving allegations of fraud and unconscionability, see </w:t>
      </w:r>
      <w:r w:rsidRPr="00D127FE">
        <w:rPr>
          <w:bCs/>
          <w:i/>
          <w:lang w:val="en-AU"/>
        </w:rPr>
        <w:t>Ottoway Engineering Pty Ltd v Westpac Banking Corporation (No 3)</w:t>
      </w:r>
      <w:r w:rsidRPr="00E72BCD">
        <w:rPr>
          <w:bCs/>
          <w:lang w:val="en-AU"/>
        </w:rPr>
        <w:t xml:space="preserve"> [2017] FCA 1500 (13 December 2017)</w:t>
      </w:r>
      <w:r w:rsidR="00D127FE">
        <w:rPr>
          <w:bCs/>
          <w:lang w:val="en-AU"/>
        </w:rPr>
        <w:t>.</w:t>
      </w:r>
    </w:p>
  </w:footnote>
  <w:footnote w:id="7">
    <w:p w:rsidR="00DF7CD2" w:rsidRDefault="00DF7CD2">
      <w:pPr>
        <w:pStyle w:val="FootnoteText"/>
      </w:pPr>
      <w:r>
        <w:rPr>
          <w:rStyle w:val="FootnoteReference"/>
        </w:rPr>
        <w:footnoteRef/>
      </w:r>
      <w:r>
        <w:t xml:space="preserve"> </w:t>
      </w:r>
      <w:r w:rsidRPr="00421E64">
        <w:rPr>
          <w:i/>
        </w:rPr>
        <w:t>Clough Engineering Ltd v Oil &amp; Natural Gas Corp Ltd</w:t>
      </w:r>
      <w:r w:rsidRPr="00421E64">
        <w:t xml:space="preserve"> (2008) 249 ALR 458</w:t>
      </w:r>
    </w:p>
  </w:footnote>
  <w:footnote w:id="8">
    <w:p w:rsidR="00DF7CD2" w:rsidRDefault="00DF7CD2">
      <w:pPr>
        <w:pStyle w:val="FootnoteText"/>
      </w:pPr>
      <w:r>
        <w:rPr>
          <w:rStyle w:val="FootnoteReference"/>
        </w:rPr>
        <w:footnoteRef/>
      </w:r>
      <w:r>
        <w:t xml:space="preserve"> Recently affirmed in </w:t>
      </w:r>
      <w:proofErr w:type="spellStart"/>
      <w:r w:rsidRPr="00A052B5">
        <w:rPr>
          <w:bCs/>
          <w:i/>
          <w:lang w:val="en-AU"/>
        </w:rPr>
        <w:t>Simic</w:t>
      </w:r>
      <w:proofErr w:type="spellEnd"/>
      <w:r w:rsidRPr="00A052B5">
        <w:rPr>
          <w:bCs/>
          <w:i/>
          <w:lang w:val="en-AU"/>
        </w:rPr>
        <w:t xml:space="preserve"> v New South Wales Land and Housing Corporation</w:t>
      </w:r>
      <w:r w:rsidRPr="00A052B5">
        <w:rPr>
          <w:bCs/>
          <w:lang w:val="en-AU"/>
        </w:rPr>
        <w:t xml:space="preserve"> [2016] HCA 47 </w:t>
      </w:r>
      <w:r>
        <w:rPr>
          <w:bCs/>
          <w:lang w:val="en-AU"/>
        </w:rPr>
        <w:t>at [5].</w:t>
      </w:r>
    </w:p>
  </w:footnote>
  <w:footnote w:id="9">
    <w:p w:rsidR="00DF7CD2" w:rsidRDefault="00DF7CD2">
      <w:pPr>
        <w:pStyle w:val="FootnoteText"/>
      </w:pPr>
      <w:r>
        <w:rPr>
          <w:rStyle w:val="FootnoteReference"/>
        </w:rPr>
        <w:footnoteRef/>
      </w:r>
      <w:r>
        <w:t xml:space="preserve"> </w:t>
      </w:r>
      <w:r w:rsidRPr="00CB2E45">
        <w:t>[2010] NSWCA 283</w:t>
      </w:r>
    </w:p>
  </w:footnote>
  <w:footnote w:id="10">
    <w:p w:rsidR="00DF7CD2" w:rsidRDefault="00DF7CD2" w:rsidP="00755DDB">
      <w:pPr>
        <w:pStyle w:val="FootnoteText"/>
      </w:pPr>
      <w:r>
        <w:rPr>
          <w:rStyle w:val="FootnoteReference"/>
        </w:rPr>
        <w:footnoteRef/>
      </w:r>
      <w:r>
        <w:t xml:space="preserve"> </w:t>
      </w:r>
      <w:r w:rsidRPr="00CC762D">
        <w:rPr>
          <w:lang w:val="en-AU"/>
        </w:rPr>
        <w:t>at [95]</w:t>
      </w:r>
      <w:r>
        <w:rPr>
          <w:lang w:val="en-AU"/>
        </w:rPr>
        <w:t>, [96]</w:t>
      </w:r>
    </w:p>
  </w:footnote>
  <w:footnote w:id="11">
    <w:p w:rsidR="00DF7CD2" w:rsidRDefault="00DF7CD2">
      <w:pPr>
        <w:pStyle w:val="FootnoteText"/>
      </w:pPr>
      <w:r>
        <w:rPr>
          <w:rStyle w:val="FootnoteReference"/>
        </w:rPr>
        <w:footnoteRef/>
      </w:r>
      <w:r>
        <w:t xml:space="preserve"> </w:t>
      </w:r>
      <w:r w:rsidRPr="009A54A6">
        <w:rPr>
          <w:lang w:val="en-AU"/>
        </w:rPr>
        <w:t xml:space="preserve">at </w:t>
      </w:r>
      <w:r>
        <w:rPr>
          <w:lang w:val="en-AU"/>
        </w:rPr>
        <w:t>[</w:t>
      </w:r>
      <w:r w:rsidRPr="009A54A6">
        <w:rPr>
          <w:lang w:val="en-AU"/>
        </w:rPr>
        <w:t>89]</w:t>
      </w:r>
    </w:p>
  </w:footnote>
  <w:footnote w:id="12">
    <w:p w:rsidR="00DF7CD2" w:rsidRPr="00755DDB" w:rsidRDefault="00DF7CD2" w:rsidP="00AC0DDC">
      <w:pPr>
        <w:pStyle w:val="FootnoteText"/>
        <w:rPr>
          <w:bCs/>
          <w:lang w:val="en-AU"/>
        </w:rPr>
      </w:pPr>
      <w:r>
        <w:rPr>
          <w:rStyle w:val="FootnoteReference"/>
        </w:rPr>
        <w:footnoteRef/>
      </w:r>
      <w:r>
        <w:t xml:space="preserve"> </w:t>
      </w:r>
      <w:r w:rsidRPr="00A37561">
        <w:rPr>
          <w:bCs/>
          <w:i/>
          <w:lang w:val="en-AU"/>
        </w:rPr>
        <w:t>CPB Contractors Pty Ltd v JKC Australia LNG Pty Ltd</w:t>
      </w:r>
      <w:r w:rsidRPr="00A37561">
        <w:rPr>
          <w:bCs/>
          <w:lang w:val="en-AU"/>
        </w:rPr>
        <w:t xml:space="preserve"> [2017] </w:t>
      </w:r>
      <w:proofErr w:type="spellStart"/>
      <w:r w:rsidRPr="00A37561">
        <w:rPr>
          <w:bCs/>
          <w:lang w:val="en-AU"/>
        </w:rPr>
        <w:t>HCATrans</w:t>
      </w:r>
      <w:proofErr w:type="spellEnd"/>
      <w:r w:rsidRPr="00A37561">
        <w:rPr>
          <w:bCs/>
          <w:lang w:val="en-AU"/>
        </w:rPr>
        <w:t xml:space="preserve"> 147 (14 July 2017)</w:t>
      </w:r>
    </w:p>
  </w:footnote>
  <w:footnote w:id="13">
    <w:p w:rsidR="00DF7CD2" w:rsidRDefault="00DF7CD2">
      <w:pPr>
        <w:pStyle w:val="FootnoteText"/>
      </w:pPr>
      <w:r>
        <w:rPr>
          <w:rStyle w:val="FootnoteReference"/>
        </w:rPr>
        <w:footnoteRef/>
      </w:r>
      <w:r>
        <w:t xml:space="preserve"> Referring to the decisions in </w:t>
      </w:r>
      <w:proofErr w:type="spellStart"/>
      <w:r>
        <w:t>fn</w:t>
      </w:r>
      <w:proofErr w:type="spellEnd"/>
      <w:r>
        <w:t xml:space="preserve"> 4 and 5 above, as well as </w:t>
      </w:r>
      <w:r w:rsidRPr="00755DDB">
        <w:rPr>
          <w:i/>
        </w:rPr>
        <w:t>RCR O’Donnell</w:t>
      </w:r>
      <w:r>
        <w:t>, ibid.</w:t>
      </w:r>
    </w:p>
  </w:footnote>
  <w:footnote w:id="14">
    <w:p w:rsidR="00DF7CD2" w:rsidRDefault="00DF7CD2">
      <w:pPr>
        <w:pStyle w:val="FootnoteText"/>
      </w:pPr>
      <w:r>
        <w:rPr>
          <w:rStyle w:val="FootnoteReference"/>
        </w:rPr>
        <w:footnoteRef/>
      </w:r>
      <w:r>
        <w:t xml:space="preserve"> </w:t>
      </w:r>
      <w:r w:rsidRPr="00DF7CD2">
        <w:t xml:space="preserve">at [39], </w:t>
      </w:r>
      <w:r>
        <w:t>relying</w:t>
      </w:r>
      <w:r w:rsidRPr="00DF7CD2">
        <w:t xml:space="preserve"> on </w:t>
      </w:r>
      <w:r w:rsidRPr="00DF7CD2">
        <w:rPr>
          <w:i/>
          <w:iCs/>
          <w:lang w:val="en-AU"/>
        </w:rPr>
        <w:t xml:space="preserve">Clough </w:t>
      </w:r>
      <w:r w:rsidRPr="00DF7CD2">
        <w:rPr>
          <w:lang w:val="en-AU"/>
        </w:rPr>
        <w:t>at [83]</w:t>
      </w:r>
      <w:r>
        <w:t>.</w:t>
      </w:r>
    </w:p>
  </w:footnote>
  <w:footnote w:id="15">
    <w:p w:rsidR="006E0DCD" w:rsidRDefault="006E0DCD">
      <w:pPr>
        <w:pStyle w:val="FootnoteText"/>
      </w:pPr>
      <w:r>
        <w:rPr>
          <w:rStyle w:val="FootnoteReference"/>
        </w:rPr>
        <w:footnoteRef/>
      </w:r>
      <w:r>
        <w:t xml:space="preserve"> [65]</w:t>
      </w:r>
    </w:p>
  </w:footnote>
  <w:footnote w:id="16">
    <w:p w:rsidR="00076D56" w:rsidRDefault="00076D56">
      <w:pPr>
        <w:pStyle w:val="FootnoteText"/>
      </w:pPr>
      <w:r>
        <w:rPr>
          <w:rStyle w:val="FootnoteReference"/>
        </w:rPr>
        <w:footnoteRef/>
      </w:r>
      <w:r>
        <w:t xml:space="preserve"> </w:t>
      </w:r>
      <w:proofErr w:type="spellStart"/>
      <w:r w:rsidRPr="00076D56">
        <w:rPr>
          <w:i/>
        </w:rPr>
        <w:t>Simic</w:t>
      </w:r>
      <w:proofErr w:type="spellEnd"/>
      <w:r w:rsidRPr="00076D56">
        <w:t xml:space="preserve"> at [78]</w:t>
      </w:r>
    </w:p>
  </w:footnote>
  <w:footnote w:id="17">
    <w:p w:rsidR="00275CF6" w:rsidRDefault="00275CF6">
      <w:pPr>
        <w:pStyle w:val="FootnoteText"/>
      </w:pPr>
      <w:r>
        <w:rPr>
          <w:rStyle w:val="FootnoteReference"/>
        </w:rPr>
        <w:footnoteRef/>
      </w:r>
      <w:r>
        <w:t xml:space="preserve"> </w:t>
      </w:r>
      <w:proofErr w:type="spellStart"/>
      <w:r w:rsidRPr="00275CF6">
        <w:t>cf</w:t>
      </w:r>
      <w:proofErr w:type="spellEnd"/>
      <w:r w:rsidRPr="00275CF6">
        <w:t xml:space="preserve"> Callaway JA in </w:t>
      </w:r>
      <w:r w:rsidRPr="00275CF6">
        <w:rPr>
          <w:i/>
          <w:iCs/>
          <w:lang w:val="en-AU"/>
        </w:rPr>
        <w:t>Fletcher Construction Australia</w:t>
      </w:r>
      <w:r>
        <w:rPr>
          <w:i/>
          <w:iCs/>
          <w:lang w:val="en-AU"/>
        </w:rPr>
        <w:t>.</w:t>
      </w:r>
    </w:p>
  </w:footnote>
  <w:footnote w:id="18">
    <w:p w:rsidR="00741AE8" w:rsidRDefault="00741AE8">
      <w:pPr>
        <w:pStyle w:val="FootnoteText"/>
      </w:pPr>
      <w:r>
        <w:rPr>
          <w:rStyle w:val="FootnoteReference"/>
        </w:rPr>
        <w:footnoteRef/>
      </w:r>
      <w:r>
        <w:t xml:space="preserve"> </w:t>
      </w:r>
      <w:r w:rsidRPr="00741AE8">
        <w:t>[86]</w:t>
      </w:r>
    </w:p>
  </w:footnote>
  <w:footnote w:id="19">
    <w:p w:rsidR="0098343D" w:rsidRDefault="0098343D">
      <w:pPr>
        <w:pStyle w:val="FootnoteText"/>
      </w:pPr>
      <w:r>
        <w:rPr>
          <w:rStyle w:val="FootnoteReference"/>
        </w:rPr>
        <w:footnoteRef/>
      </w:r>
      <w:r>
        <w:t xml:space="preserve"> [95]-[96]</w:t>
      </w:r>
    </w:p>
  </w:footnote>
  <w:footnote w:id="20">
    <w:p w:rsidR="00F05057" w:rsidRDefault="00F05057">
      <w:pPr>
        <w:pStyle w:val="FootnoteText"/>
      </w:pPr>
      <w:r>
        <w:rPr>
          <w:rStyle w:val="FootnoteReference"/>
        </w:rPr>
        <w:footnoteRef/>
      </w:r>
      <w:r>
        <w:t xml:space="preserve"> </w:t>
      </w:r>
      <w:r w:rsidRPr="00F05057">
        <w:t>[105]</w:t>
      </w:r>
    </w:p>
  </w:footnote>
  <w:footnote w:id="21">
    <w:p w:rsidR="00B75AC9" w:rsidRDefault="00B75AC9">
      <w:pPr>
        <w:pStyle w:val="FootnoteText"/>
      </w:pPr>
      <w:r>
        <w:rPr>
          <w:rStyle w:val="FootnoteReference"/>
        </w:rPr>
        <w:footnoteRef/>
      </w:r>
      <w:r>
        <w:t xml:space="preserve"> </w:t>
      </w:r>
      <w:r w:rsidRPr="00B75AC9">
        <w:t>[117]</w:t>
      </w:r>
    </w:p>
  </w:footnote>
  <w:footnote w:id="22">
    <w:p w:rsidR="00795F0B" w:rsidRDefault="00795F0B">
      <w:pPr>
        <w:pStyle w:val="FootnoteText"/>
      </w:pPr>
      <w:r>
        <w:rPr>
          <w:rStyle w:val="FootnoteReference"/>
        </w:rPr>
        <w:footnoteRef/>
      </w:r>
      <w:r>
        <w:t xml:space="preserve"> [2]</w:t>
      </w:r>
    </w:p>
  </w:footnote>
  <w:footnote w:id="23">
    <w:p w:rsidR="00573576" w:rsidRPr="009A2A26" w:rsidRDefault="00573576">
      <w:pPr>
        <w:pStyle w:val="FootnoteText"/>
        <w:rPr>
          <w:lang w:val="en-AU"/>
        </w:rPr>
      </w:pPr>
      <w:r>
        <w:rPr>
          <w:rStyle w:val="FootnoteReference"/>
        </w:rPr>
        <w:footnoteRef/>
      </w:r>
      <w:r>
        <w:t xml:space="preserve"> Clause 39.7 permitted </w:t>
      </w:r>
      <w:r w:rsidR="009A2A26">
        <w:t>the Principal to “</w:t>
      </w:r>
      <w:r w:rsidR="009A2A26" w:rsidRPr="009A2A26">
        <w:rPr>
          <w:lang w:val="en-AU"/>
        </w:rPr>
        <w:t>set-off any amount due and payable</w:t>
      </w:r>
      <w:r w:rsidR="009A2A26">
        <w:rPr>
          <w:lang w:val="en-AU"/>
        </w:rPr>
        <w:t>” by the Contractor, and 39.9 permitted recourse to the security in respect of such amounts.</w:t>
      </w:r>
    </w:p>
  </w:footnote>
  <w:footnote w:id="24">
    <w:p w:rsidR="0025286A" w:rsidRDefault="0025286A">
      <w:pPr>
        <w:pStyle w:val="FootnoteText"/>
      </w:pPr>
      <w:r>
        <w:rPr>
          <w:rStyle w:val="FootnoteReference"/>
        </w:rPr>
        <w:footnoteRef/>
      </w:r>
      <w:r>
        <w:t xml:space="preserve"> </w:t>
      </w:r>
      <w:r w:rsidRPr="0025286A">
        <w:t>[</w:t>
      </w:r>
      <w:r w:rsidR="004F0293" w:rsidRPr="0025286A">
        <w:t>827</w:t>
      </w:r>
      <w:r>
        <w:t>]</w:t>
      </w:r>
    </w:p>
  </w:footnote>
  <w:footnote w:id="25">
    <w:p w:rsidR="00D03B7C" w:rsidRDefault="00D03B7C" w:rsidP="00D03B7C">
      <w:pPr>
        <w:pStyle w:val="FootnoteText"/>
      </w:pPr>
      <w:r>
        <w:rPr>
          <w:rStyle w:val="FootnoteReference"/>
        </w:rPr>
        <w:footnoteRef/>
      </w:r>
      <w:r>
        <w:t xml:space="preserve"> For example, see </w:t>
      </w:r>
      <w:r w:rsidR="00FA4BAB" w:rsidRPr="00FA4BAB">
        <w:rPr>
          <w:bCs/>
          <w:i/>
        </w:rPr>
        <w:t>Redline Contracting Pty Ltd v MCC Mining (Western Australia) Pty Ltd (No 2)</w:t>
      </w:r>
      <w:r w:rsidR="00FA4BAB" w:rsidRPr="00FA4BAB">
        <w:rPr>
          <w:bCs/>
        </w:rPr>
        <w:t xml:space="preserve"> [2012] FCA 1 </w:t>
      </w:r>
      <w:r w:rsidR="00FA4BAB">
        <w:t xml:space="preserve">and </w:t>
      </w:r>
      <w:r w:rsidRPr="00D03B7C">
        <w:rPr>
          <w:bCs/>
          <w:i/>
        </w:rPr>
        <w:t>Sugar Australia Pty Ltd v Lend Lease Services Pty Ltd</w:t>
      </w:r>
      <w:r w:rsidRPr="00D03B7C">
        <w:rPr>
          <w:bCs/>
        </w:rPr>
        <w:t xml:space="preserve"> [2015] VSCA 98</w:t>
      </w:r>
      <w:r>
        <w:rPr>
          <w:bCs/>
        </w:rPr>
        <w:t>,</w:t>
      </w:r>
      <w:r w:rsidRPr="00D03B7C">
        <w:t xml:space="preserve"> </w:t>
      </w:r>
      <w:r>
        <w:t>per Kaye JA.</w:t>
      </w:r>
    </w:p>
  </w:footnote>
  <w:footnote w:id="26">
    <w:p w:rsidR="00F97F65" w:rsidRPr="00F97F65" w:rsidRDefault="00F97F65" w:rsidP="00F97F65">
      <w:pPr>
        <w:pStyle w:val="FootnoteText"/>
        <w:rPr>
          <w:bCs/>
        </w:rPr>
      </w:pPr>
      <w:r>
        <w:rPr>
          <w:rStyle w:val="FootnoteReference"/>
        </w:rPr>
        <w:footnoteRef/>
      </w:r>
      <w:r>
        <w:t xml:space="preserve"> A view not dissimilar to that expressed by Kenneth Martin J in </w:t>
      </w:r>
      <w:r w:rsidRPr="00F97F65">
        <w:rPr>
          <w:bCs/>
          <w:i/>
        </w:rPr>
        <w:t xml:space="preserve">Central Petroleum Ltd v Century Energy Services Pty Ltd </w:t>
      </w:r>
      <w:r w:rsidRPr="00F97F65">
        <w:rPr>
          <w:bCs/>
        </w:rPr>
        <w:t>[2011] WASC 211</w:t>
      </w:r>
      <w:r>
        <w:rPr>
          <w:bCs/>
        </w:rPr>
        <w:t>.</w:t>
      </w:r>
      <w:r w:rsidRPr="00F97F65">
        <w:rPr>
          <w:bCs/>
        </w:rPr>
        <w:t xml:space="preserve"> </w:t>
      </w:r>
    </w:p>
    <w:p w:rsidR="00F97F65" w:rsidRDefault="00F97F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756702"/>
      <w:docPartObj>
        <w:docPartGallery w:val="Page Numbers (Top of Page)"/>
        <w:docPartUnique/>
      </w:docPartObj>
    </w:sdtPr>
    <w:sdtEndPr>
      <w:rPr>
        <w:rStyle w:val="PageNumber"/>
      </w:rPr>
    </w:sdtEndPr>
    <w:sdtContent>
      <w:p w:rsidR="00DF7CD2" w:rsidRDefault="00DF7CD2" w:rsidP="00DF7CD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7CD2" w:rsidRDefault="00DF7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7443462"/>
      <w:docPartObj>
        <w:docPartGallery w:val="Page Numbers (Top of Page)"/>
        <w:docPartUnique/>
      </w:docPartObj>
    </w:sdtPr>
    <w:sdtEndPr>
      <w:rPr>
        <w:rStyle w:val="PageNumber"/>
      </w:rPr>
    </w:sdtEndPr>
    <w:sdtContent>
      <w:p w:rsidR="00DF7CD2" w:rsidRDefault="00DF7CD2" w:rsidP="00DF7CD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F7CD2" w:rsidRDefault="00DF7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BEE"/>
    <w:multiLevelType w:val="hybridMultilevel"/>
    <w:tmpl w:val="CEE60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95BD4"/>
    <w:multiLevelType w:val="hybridMultilevel"/>
    <w:tmpl w:val="E24AC3CC"/>
    <w:lvl w:ilvl="0" w:tplc="0186BC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080"/>
    <w:multiLevelType w:val="multilevel"/>
    <w:tmpl w:val="2B8CF10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04335F"/>
    <w:multiLevelType w:val="multilevel"/>
    <w:tmpl w:val="2B8CF10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09"/>
        </w:tabs>
        <w:ind w:left="709"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B7167"/>
    <w:multiLevelType w:val="hybridMultilevel"/>
    <w:tmpl w:val="8F067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753E36"/>
    <w:multiLevelType w:val="multilevel"/>
    <w:tmpl w:val="2B8CF10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09"/>
        </w:tabs>
        <w:ind w:left="709"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9D3AE7"/>
    <w:multiLevelType w:val="hybridMultilevel"/>
    <w:tmpl w:val="D2F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61889"/>
    <w:multiLevelType w:val="hybridMultilevel"/>
    <w:tmpl w:val="FFB0AB4E"/>
    <w:lvl w:ilvl="0" w:tplc="8096652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85460"/>
    <w:multiLevelType w:val="multilevel"/>
    <w:tmpl w:val="623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81883"/>
    <w:multiLevelType w:val="hybridMultilevel"/>
    <w:tmpl w:val="1684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556D6"/>
    <w:multiLevelType w:val="multilevel"/>
    <w:tmpl w:val="2B8CF10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6"/>
  </w:num>
  <w:num w:numId="4">
    <w:abstractNumId w:val="8"/>
  </w:num>
  <w:num w:numId="5">
    <w:abstractNumId w:val="2"/>
  </w:num>
  <w:num w:numId="6">
    <w:abstractNumId w:val="7"/>
  </w:num>
  <w:num w:numId="7">
    <w:abstractNumId w:val="3"/>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11"/>
    <w:rsid w:val="00027880"/>
    <w:rsid w:val="00030668"/>
    <w:rsid w:val="00036BB4"/>
    <w:rsid w:val="0006415F"/>
    <w:rsid w:val="00064E05"/>
    <w:rsid w:val="00074093"/>
    <w:rsid w:val="000761A4"/>
    <w:rsid w:val="00076D56"/>
    <w:rsid w:val="00084F8B"/>
    <w:rsid w:val="00095E03"/>
    <w:rsid w:val="000A476E"/>
    <w:rsid w:val="000B3193"/>
    <w:rsid w:val="000C3883"/>
    <w:rsid w:val="000D4F8E"/>
    <w:rsid w:val="000E0E05"/>
    <w:rsid w:val="000E385E"/>
    <w:rsid w:val="000F3000"/>
    <w:rsid w:val="00124375"/>
    <w:rsid w:val="001335CF"/>
    <w:rsid w:val="00150802"/>
    <w:rsid w:val="00164955"/>
    <w:rsid w:val="00177F42"/>
    <w:rsid w:val="00181594"/>
    <w:rsid w:val="00195A1D"/>
    <w:rsid w:val="001A1083"/>
    <w:rsid w:val="001B3E76"/>
    <w:rsid w:val="001B54F7"/>
    <w:rsid w:val="001C2AE1"/>
    <w:rsid w:val="001C5AC8"/>
    <w:rsid w:val="001D06B0"/>
    <w:rsid w:val="001D2F6C"/>
    <w:rsid w:val="001D3B6D"/>
    <w:rsid w:val="001D5CD9"/>
    <w:rsid w:val="001D6D93"/>
    <w:rsid w:val="001E08C1"/>
    <w:rsid w:val="001E16FC"/>
    <w:rsid w:val="001E6534"/>
    <w:rsid w:val="00206798"/>
    <w:rsid w:val="00210A29"/>
    <w:rsid w:val="00231E12"/>
    <w:rsid w:val="00233086"/>
    <w:rsid w:val="0024721B"/>
    <w:rsid w:val="002516FE"/>
    <w:rsid w:val="0025286A"/>
    <w:rsid w:val="00275CF6"/>
    <w:rsid w:val="00290874"/>
    <w:rsid w:val="00293176"/>
    <w:rsid w:val="002A24F4"/>
    <w:rsid w:val="002B75D4"/>
    <w:rsid w:val="002C50D9"/>
    <w:rsid w:val="002C568B"/>
    <w:rsid w:val="002D463F"/>
    <w:rsid w:val="002E696B"/>
    <w:rsid w:val="002F54BE"/>
    <w:rsid w:val="00314B5E"/>
    <w:rsid w:val="00321CA3"/>
    <w:rsid w:val="00324F12"/>
    <w:rsid w:val="00336A58"/>
    <w:rsid w:val="003511B3"/>
    <w:rsid w:val="00351906"/>
    <w:rsid w:val="00353585"/>
    <w:rsid w:val="003658F2"/>
    <w:rsid w:val="00366516"/>
    <w:rsid w:val="0037678A"/>
    <w:rsid w:val="00377BCB"/>
    <w:rsid w:val="003839A2"/>
    <w:rsid w:val="00391615"/>
    <w:rsid w:val="003B1FFF"/>
    <w:rsid w:val="003B4290"/>
    <w:rsid w:val="003C4C54"/>
    <w:rsid w:val="003D13D1"/>
    <w:rsid w:val="003F040C"/>
    <w:rsid w:val="003F3A1A"/>
    <w:rsid w:val="003F746C"/>
    <w:rsid w:val="00407668"/>
    <w:rsid w:val="00421E64"/>
    <w:rsid w:val="0042443B"/>
    <w:rsid w:val="004422BA"/>
    <w:rsid w:val="00452350"/>
    <w:rsid w:val="004607A5"/>
    <w:rsid w:val="00474C9E"/>
    <w:rsid w:val="0047558C"/>
    <w:rsid w:val="0048150C"/>
    <w:rsid w:val="00485953"/>
    <w:rsid w:val="004870EC"/>
    <w:rsid w:val="00494E73"/>
    <w:rsid w:val="004A4046"/>
    <w:rsid w:val="004A77D2"/>
    <w:rsid w:val="004C17F3"/>
    <w:rsid w:val="004D27BF"/>
    <w:rsid w:val="004D40CE"/>
    <w:rsid w:val="004E25F0"/>
    <w:rsid w:val="004F0293"/>
    <w:rsid w:val="005048CF"/>
    <w:rsid w:val="00506B2D"/>
    <w:rsid w:val="00510C42"/>
    <w:rsid w:val="00522242"/>
    <w:rsid w:val="005612D8"/>
    <w:rsid w:val="00561630"/>
    <w:rsid w:val="00573576"/>
    <w:rsid w:val="00575039"/>
    <w:rsid w:val="00580692"/>
    <w:rsid w:val="0058274D"/>
    <w:rsid w:val="00591E9E"/>
    <w:rsid w:val="005A7F8E"/>
    <w:rsid w:val="005B48AA"/>
    <w:rsid w:val="005C45E4"/>
    <w:rsid w:val="005D28D5"/>
    <w:rsid w:val="005E7F56"/>
    <w:rsid w:val="005F6920"/>
    <w:rsid w:val="00607FEC"/>
    <w:rsid w:val="006175EC"/>
    <w:rsid w:val="00621B62"/>
    <w:rsid w:val="00634601"/>
    <w:rsid w:val="00640561"/>
    <w:rsid w:val="0065285E"/>
    <w:rsid w:val="006535B2"/>
    <w:rsid w:val="00671089"/>
    <w:rsid w:val="006869B7"/>
    <w:rsid w:val="00691F97"/>
    <w:rsid w:val="006950B0"/>
    <w:rsid w:val="0069636B"/>
    <w:rsid w:val="006C1614"/>
    <w:rsid w:val="006E0DCD"/>
    <w:rsid w:val="006E248C"/>
    <w:rsid w:val="006F1C91"/>
    <w:rsid w:val="006F6E52"/>
    <w:rsid w:val="00704D40"/>
    <w:rsid w:val="0072391A"/>
    <w:rsid w:val="00724163"/>
    <w:rsid w:val="00726135"/>
    <w:rsid w:val="00726CC6"/>
    <w:rsid w:val="00741AE8"/>
    <w:rsid w:val="00755DDB"/>
    <w:rsid w:val="00756BB0"/>
    <w:rsid w:val="00760914"/>
    <w:rsid w:val="007635D6"/>
    <w:rsid w:val="00795F0B"/>
    <w:rsid w:val="007E2F55"/>
    <w:rsid w:val="007E55F9"/>
    <w:rsid w:val="007F1509"/>
    <w:rsid w:val="008219B0"/>
    <w:rsid w:val="00824497"/>
    <w:rsid w:val="008771FF"/>
    <w:rsid w:val="00884527"/>
    <w:rsid w:val="00886E27"/>
    <w:rsid w:val="0088782F"/>
    <w:rsid w:val="00892C34"/>
    <w:rsid w:val="008A17C4"/>
    <w:rsid w:val="008B207B"/>
    <w:rsid w:val="008C3357"/>
    <w:rsid w:val="008C5055"/>
    <w:rsid w:val="008D45C8"/>
    <w:rsid w:val="008E2EA5"/>
    <w:rsid w:val="008E3965"/>
    <w:rsid w:val="008E5FF0"/>
    <w:rsid w:val="008F08CF"/>
    <w:rsid w:val="00901D3A"/>
    <w:rsid w:val="0090366B"/>
    <w:rsid w:val="00905221"/>
    <w:rsid w:val="00910711"/>
    <w:rsid w:val="009420E1"/>
    <w:rsid w:val="00943212"/>
    <w:rsid w:val="00947308"/>
    <w:rsid w:val="00954551"/>
    <w:rsid w:val="00963224"/>
    <w:rsid w:val="00977761"/>
    <w:rsid w:val="00981F75"/>
    <w:rsid w:val="0098343D"/>
    <w:rsid w:val="0098670F"/>
    <w:rsid w:val="00987C5F"/>
    <w:rsid w:val="009A2A26"/>
    <w:rsid w:val="009A54A6"/>
    <w:rsid w:val="009A5BD5"/>
    <w:rsid w:val="009B2218"/>
    <w:rsid w:val="009B452B"/>
    <w:rsid w:val="009B70BE"/>
    <w:rsid w:val="009C701C"/>
    <w:rsid w:val="009E2CB3"/>
    <w:rsid w:val="00A052B5"/>
    <w:rsid w:val="00A37561"/>
    <w:rsid w:val="00A47D30"/>
    <w:rsid w:val="00A54563"/>
    <w:rsid w:val="00A62FD2"/>
    <w:rsid w:val="00A64DEA"/>
    <w:rsid w:val="00A7146B"/>
    <w:rsid w:val="00A878F6"/>
    <w:rsid w:val="00A959E7"/>
    <w:rsid w:val="00AC0DDC"/>
    <w:rsid w:val="00AC5EDE"/>
    <w:rsid w:val="00AD187F"/>
    <w:rsid w:val="00AD4F10"/>
    <w:rsid w:val="00AD6C20"/>
    <w:rsid w:val="00AE3B63"/>
    <w:rsid w:val="00B000DF"/>
    <w:rsid w:val="00B04BF7"/>
    <w:rsid w:val="00B055AC"/>
    <w:rsid w:val="00B116DC"/>
    <w:rsid w:val="00B13BB0"/>
    <w:rsid w:val="00B27018"/>
    <w:rsid w:val="00B4031C"/>
    <w:rsid w:val="00B57DCA"/>
    <w:rsid w:val="00B61043"/>
    <w:rsid w:val="00B71E1A"/>
    <w:rsid w:val="00B75AC9"/>
    <w:rsid w:val="00B94468"/>
    <w:rsid w:val="00BB6935"/>
    <w:rsid w:val="00BC0908"/>
    <w:rsid w:val="00BF413D"/>
    <w:rsid w:val="00C06ED5"/>
    <w:rsid w:val="00C12AA6"/>
    <w:rsid w:val="00C12F39"/>
    <w:rsid w:val="00C22BC8"/>
    <w:rsid w:val="00C314B7"/>
    <w:rsid w:val="00C4464F"/>
    <w:rsid w:val="00C47CA3"/>
    <w:rsid w:val="00C5763A"/>
    <w:rsid w:val="00C602B7"/>
    <w:rsid w:val="00C63385"/>
    <w:rsid w:val="00C74DBE"/>
    <w:rsid w:val="00C83913"/>
    <w:rsid w:val="00C8457B"/>
    <w:rsid w:val="00CA2B60"/>
    <w:rsid w:val="00CA684F"/>
    <w:rsid w:val="00CB258B"/>
    <w:rsid w:val="00CB2E45"/>
    <w:rsid w:val="00CC0FC0"/>
    <w:rsid w:val="00CC762D"/>
    <w:rsid w:val="00CE1E26"/>
    <w:rsid w:val="00CE7D89"/>
    <w:rsid w:val="00CF217F"/>
    <w:rsid w:val="00D03B7C"/>
    <w:rsid w:val="00D12203"/>
    <w:rsid w:val="00D127FE"/>
    <w:rsid w:val="00D2364D"/>
    <w:rsid w:val="00D33229"/>
    <w:rsid w:val="00D53838"/>
    <w:rsid w:val="00D578C0"/>
    <w:rsid w:val="00D627E3"/>
    <w:rsid w:val="00D67CB9"/>
    <w:rsid w:val="00D715F7"/>
    <w:rsid w:val="00D733FA"/>
    <w:rsid w:val="00D91793"/>
    <w:rsid w:val="00DA3554"/>
    <w:rsid w:val="00DA5D60"/>
    <w:rsid w:val="00DD719F"/>
    <w:rsid w:val="00DE0681"/>
    <w:rsid w:val="00DE46A9"/>
    <w:rsid w:val="00DF0B09"/>
    <w:rsid w:val="00DF37F6"/>
    <w:rsid w:val="00DF41FF"/>
    <w:rsid w:val="00DF7CD2"/>
    <w:rsid w:val="00E02779"/>
    <w:rsid w:val="00E07C75"/>
    <w:rsid w:val="00E1286E"/>
    <w:rsid w:val="00E16E11"/>
    <w:rsid w:val="00E22508"/>
    <w:rsid w:val="00E33D4C"/>
    <w:rsid w:val="00E515EA"/>
    <w:rsid w:val="00E56973"/>
    <w:rsid w:val="00E72BCD"/>
    <w:rsid w:val="00EB7643"/>
    <w:rsid w:val="00EC029B"/>
    <w:rsid w:val="00EC7ACB"/>
    <w:rsid w:val="00ED558F"/>
    <w:rsid w:val="00EE2534"/>
    <w:rsid w:val="00F013E5"/>
    <w:rsid w:val="00F05057"/>
    <w:rsid w:val="00F061E9"/>
    <w:rsid w:val="00F25884"/>
    <w:rsid w:val="00F4688C"/>
    <w:rsid w:val="00F50E13"/>
    <w:rsid w:val="00F66306"/>
    <w:rsid w:val="00F865F7"/>
    <w:rsid w:val="00F97F65"/>
    <w:rsid w:val="00FA02B3"/>
    <w:rsid w:val="00FA4BAB"/>
    <w:rsid w:val="00FB13B2"/>
    <w:rsid w:val="00FC4E46"/>
    <w:rsid w:val="00FC7248"/>
    <w:rsid w:val="00FD2CB2"/>
    <w:rsid w:val="00FD3AA7"/>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44F8"/>
  <w14:defaultImageDpi w14:val="300"/>
  <w15:docId w15:val="{990BC62D-322A-1348-918F-F9D671E9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E27"/>
    <w:pPr>
      <w:spacing w:before="240" w:after="120" w:line="360" w:lineRule="auto"/>
      <w:jc w:val="both"/>
    </w:pPr>
    <w:rPr>
      <w:rFonts w:ascii="Arial" w:hAnsi="Arial"/>
    </w:rPr>
  </w:style>
  <w:style w:type="paragraph" w:styleId="Heading1">
    <w:name w:val="heading 1"/>
    <w:basedOn w:val="Normal"/>
    <w:next w:val="Normal"/>
    <w:link w:val="Heading1Char"/>
    <w:uiPriority w:val="9"/>
    <w:qFormat/>
    <w:rsid w:val="00D127FE"/>
    <w:pPr>
      <w:keepNext/>
      <w:keepLines/>
      <w:spacing w:before="360" w:after="360"/>
      <w:outlineLvl w:val="0"/>
    </w:pPr>
    <w:rPr>
      <w:rFonts w:eastAsiaTheme="majorEastAsia" w:cstheme="majorBidi"/>
      <w:b/>
      <w:bCs/>
      <w:color w:val="800000"/>
      <w:sz w:val="28"/>
      <w:szCs w:val="32"/>
    </w:rPr>
  </w:style>
  <w:style w:type="paragraph" w:styleId="Heading2">
    <w:name w:val="heading 2"/>
    <w:basedOn w:val="Normal"/>
    <w:next w:val="Normal"/>
    <w:link w:val="Heading2Char"/>
    <w:uiPriority w:val="9"/>
    <w:semiHidden/>
    <w:unhideWhenUsed/>
    <w:qFormat/>
    <w:rsid w:val="000278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11"/>
    <w:pPr>
      <w:ind w:left="720"/>
      <w:contextualSpacing/>
    </w:pPr>
  </w:style>
  <w:style w:type="character" w:styleId="Emphasis">
    <w:name w:val="Emphasis"/>
    <w:basedOn w:val="DefaultParagraphFont"/>
    <w:uiPriority w:val="20"/>
    <w:qFormat/>
    <w:rsid w:val="001E08C1"/>
    <w:rPr>
      <w:i/>
      <w:iCs/>
    </w:rPr>
  </w:style>
  <w:style w:type="paragraph" w:styleId="NormalWeb">
    <w:name w:val="Normal (Web)"/>
    <w:basedOn w:val="Normal"/>
    <w:uiPriority w:val="99"/>
    <w:semiHidden/>
    <w:unhideWhenUsed/>
    <w:rsid w:val="00C74DBE"/>
    <w:rPr>
      <w:rFonts w:ascii="Times New Roman" w:hAnsi="Times New Roman" w:cs="Times New Roman"/>
    </w:rPr>
  </w:style>
  <w:style w:type="character" w:styleId="Hyperlink">
    <w:name w:val="Hyperlink"/>
    <w:basedOn w:val="DefaultParagraphFont"/>
    <w:uiPriority w:val="99"/>
    <w:unhideWhenUsed/>
    <w:rsid w:val="004A77D2"/>
    <w:rPr>
      <w:color w:val="0000FF" w:themeColor="hyperlink"/>
      <w:u w:val="single"/>
    </w:rPr>
  </w:style>
  <w:style w:type="character" w:customStyle="1" w:styleId="Heading1Char">
    <w:name w:val="Heading 1 Char"/>
    <w:basedOn w:val="DefaultParagraphFont"/>
    <w:link w:val="Heading1"/>
    <w:uiPriority w:val="9"/>
    <w:rsid w:val="00D127FE"/>
    <w:rPr>
      <w:rFonts w:ascii="Arial" w:eastAsiaTheme="majorEastAsia" w:hAnsi="Arial" w:cstheme="majorBidi"/>
      <w:b/>
      <w:bCs/>
      <w:color w:val="800000"/>
      <w:sz w:val="28"/>
      <w:szCs w:val="32"/>
    </w:rPr>
  </w:style>
  <w:style w:type="paragraph" w:styleId="FootnoteText">
    <w:name w:val="footnote text"/>
    <w:basedOn w:val="Normal"/>
    <w:link w:val="FootnoteTextChar"/>
    <w:uiPriority w:val="99"/>
    <w:unhideWhenUsed/>
    <w:qFormat/>
    <w:rsid w:val="008A17C4"/>
    <w:pPr>
      <w:spacing w:before="0" w:after="0" w:line="240" w:lineRule="auto"/>
      <w:contextualSpacing/>
      <w:jc w:val="left"/>
    </w:pPr>
    <w:rPr>
      <w:sz w:val="18"/>
    </w:rPr>
  </w:style>
  <w:style w:type="character" w:customStyle="1" w:styleId="FootnoteTextChar">
    <w:name w:val="Footnote Text Char"/>
    <w:basedOn w:val="DefaultParagraphFont"/>
    <w:link w:val="FootnoteText"/>
    <w:uiPriority w:val="99"/>
    <w:rsid w:val="008A17C4"/>
    <w:rPr>
      <w:rFonts w:ascii="Arial" w:hAnsi="Arial"/>
      <w:sz w:val="18"/>
    </w:rPr>
  </w:style>
  <w:style w:type="character" w:styleId="FootnoteReference">
    <w:name w:val="footnote reference"/>
    <w:basedOn w:val="DefaultParagraphFont"/>
    <w:uiPriority w:val="99"/>
    <w:unhideWhenUsed/>
    <w:rsid w:val="00671089"/>
    <w:rPr>
      <w:vertAlign w:val="superscript"/>
    </w:rPr>
  </w:style>
  <w:style w:type="character" w:styleId="Strong">
    <w:name w:val="Strong"/>
    <w:basedOn w:val="DefaultParagraphFont"/>
    <w:uiPriority w:val="22"/>
    <w:qFormat/>
    <w:rsid w:val="00B116DC"/>
    <w:rPr>
      <w:b/>
      <w:bCs/>
    </w:rPr>
  </w:style>
  <w:style w:type="paragraph" w:styleId="Header">
    <w:name w:val="header"/>
    <w:basedOn w:val="Normal"/>
    <w:link w:val="HeaderChar"/>
    <w:uiPriority w:val="99"/>
    <w:unhideWhenUsed/>
    <w:rsid w:val="00C839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3913"/>
    <w:rPr>
      <w:rFonts w:ascii="Arial" w:hAnsi="Arial"/>
    </w:rPr>
  </w:style>
  <w:style w:type="paragraph" w:styleId="Footer">
    <w:name w:val="footer"/>
    <w:basedOn w:val="Normal"/>
    <w:link w:val="FooterChar"/>
    <w:uiPriority w:val="99"/>
    <w:unhideWhenUsed/>
    <w:rsid w:val="00C839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83913"/>
    <w:rPr>
      <w:rFonts w:ascii="Arial" w:hAnsi="Arial"/>
    </w:rPr>
  </w:style>
  <w:style w:type="character" w:styleId="PageNumber">
    <w:name w:val="page number"/>
    <w:basedOn w:val="DefaultParagraphFont"/>
    <w:uiPriority w:val="99"/>
    <w:semiHidden/>
    <w:unhideWhenUsed/>
    <w:rsid w:val="00C83913"/>
  </w:style>
  <w:style w:type="character" w:customStyle="1" w:styleId="Heading2Char">
    <w:name w:val="Heading 2 Char"/>
    <w:basedOn w:val="DefaultParagraphFont"/>
    <w:link w:val="Heading2"/>
    <w:uiPriority w:val="9"/>
    <w:semiHidden/>
    <w:rsid w:val="00027880"/>
    <w:rPr>
      <w:rFonts w:asciiTheme="majorHAnsi" w:eastAsiaTheme="majorEastAsia" w:hAnsiTheme="majorHAnsi" w:cstheme="majorBidi"/>
      <w:color w:val="365F91" w:themeColor="accent1" w:themeShade="BF"/>
      <w:sz w:val="26"/>
      <w:szCs w:val="26"/>
    </w:rPr>
  </w:style>
  <w:style w:type="paragraph" w:styleId="Quote">
    <w:name w:val="Quote"/>
    <w:basedOn w:val="Normal"/>
    <w:next w:val="Normal"/>
    <w:link w:val="QuoteChar"/>
    <w:uiPriority w:val="29"/>
    <w:qFormat/>
    <w:rsid w:val="00981F75"/>
    <w:pPr>
      <w:spacing w:before="120" w:after="240" w:line="300" w:lineRule="auto"/>
      <w:ind w:left="862" w:right="862"/>
    </w:pPr>
    <w:rPr>
      <w:rFonts w:ascii="Times New Roman" w:hAnsi="Times New Roman"/>
      <w:i/>
      <w:iCs/>
    </w:rPr>
  </w:style>
  <w:style w:type="character" w:customStyle="1" w:styleId="QuoteChar">
    <w:name w:val="Quote Char"/>
    <w:basedOn w:val="DefaultParagraphFont"/>
    <w:link w:val="Quote"/>
    <w:uiPriority w:val="29"/>
    <w:rsid w:val="00981F75"/>
    <w:rPr>
      <w:rFonts w:ascii="Times New Roman" w:hAnsi="Times New Roman"/>
      <w:i/>
      <w:iCs/>
    </w:rPr>
  </w:style>
  <w:style w:type="character" w:styleId="UnresolvedMention">
    <w:name w:val="Unresolved Mention"/>
    <w:basedOn w:val="DefaultParagraphFont"/>
    <w:uiPriority w:val="99"/>
    <w:semiHidden/>
    <w:unhideWhenUsed/>
    <w:rsid w:val="00AC0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981">
      <w:bodyDiv w:val="1"/>
      <w:marLeft w:val="0"/>
      <w:marRight w:val="0"/>
      <w:marTop w:val="0"/>
      <w:marBottom w:val="0"/>
      <w:divBdr>
        <w:top w:val="none" w:sz="0" w:space="0" w:color="auto"/>
        <w:left w:val="none" w:sz="0" w:space="0" w:color="auto"/>
        <w:bottom w:val="none" w:sz="0" w:space="0" w:color="auto"/>
        <w:right w:val="none" w:sz="0" w:space="0" w:color="auto"/>
      </w:divBdr>
    </w:div>
    <w:div w:id="142164581">
      <w:bodyDiv w:val="1"/>
      <w:marLeft w:val="0"/>
      <w:marRight w:val="0"/>
      <w:marTop w:val="0"/>
      <w:marBottom w:val="0"/>
      <w:divBdr>
        <w:top w:val="none" w:sz="0" w:space="0" w:color="auto"/>
        <w:left w:val="none" w:sz="0" w:space="0" w:color="auto"/>
        <w:bottom w:val="none" w:sz="0" w:space="0" w:color="auto"/>
        <w:right w:val="none" w:sz="0" w:space="0" w:color="auto"/>
      </w:divBdr>
      <w:divsChild>
        <w:div w:id="1561867434">
          <w:marLeft w:val="0"/>
          <w:marRight w:val="0"/>
          <w:marTop w:val="0"/>
          <w:marBottom w:val="0"/>
          <w:divBdr>
            <w:top w:val="none" w:sz="0" w:space="0" w:color="auto"/>
            <w:left w:val="none" w:sz="0" w:space="0" w:color="auto"/>
            <w:bottom w:val="none" w:sz="0" w:space="0" w:color="auto"/>
            <w:right w:val="none" w:sz="0" w:space="0" w:color="auto"/>
          </w:divBdr>
          <w:divsChild>
            <w:div w:id="2031443426">
              <w:marLeft w:val="0"/>
              <w:marRight w:val="0"/>
              <w:marTop w:val="0"/>
              <w:marBottom w:val="0"/>
              <w:divBdr>
                <w:top w:val="none" w:sz="0" w:space="0" w:color="auto"/>
                <w:left w:val="none" w:sz="0" w:space="0" w:color="auto"/>
                <w:bottom w:val="none" w:sz="0" w:space="0" w:color="auto"/>
                <w:right w:val="none" w:sz="0" w:space="0" w:color="auto"/>
              </w:divBdr>
              <w:divsChild>
                <w:div w:id="1032653241">
                  <w:marLeft w:val="0"/>
                  <w:marRight w:val="0"/>
                  <w:marTop w:val="0"/>
                  <w:marBottom w:val="0"/>
                  <w:divBdr>
                    <w:top w:val="none" w:sz="0" w:space="0" w:color="auto"/>
                    <w:left w:val="none" w:sz="0" w:space="0" w:color="auto"/>
                    <w:bottom w:val="none" w:sz="0" w:space="0" w:color="auto"/>
                    <w:right w:val="none" w:sz="0" w:space="0" w:color="auto"/>
                  </w:divBdr>
                  <w:divsChild>
                    <w:div w:id="8963552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996">
      <w:bodyDiv w:val="1"/>
      <w:marLeft w:val="0"/>
      <w:marRight w:val="0"/>
      <w:marTop w:val="0"/>
      <w:marBottom w:val="0"/>
      <w:divBdr>
        <w:top w:val="none" w:sz="0" w:space="0" w:color="auto"/>
        <w:left w:val="none" w:sz="0" w:space="0" w:color="auto"/>
        <w:bottom w:val="none" w:sz="0" w:space="0" w:color="auto"/>
        <w:right w:val="none" w:sz="0" w:space="0" w:color="auto"/>
      </w:divBdr>
    </w:div>
    <w:div w:id="214782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1999">
          <w:marLeft w:val="0"/>
          <w:marRight w:val="0"/>
          <w:marTop w:val="0"/>
          <w:marBottom w:val="0"/>
          <w:divBdr>
            <w:top w:val="none" w:sz="0" w:space="0" w:color="auto"/>
            <w:left w:val="none" w:sz="0" w:space="0" w:color="auto"/>
            <w:bottom w:val="none" w:sz="0" w:space="0" w:color="auto"/>
            <w:right w:val="none" w:sz="0" w:space="0" w:color="auto"/>
          </w:divBdr>
          <w:divsChild>
            <w:div w:id="2086755701">
              <w:marLeft w:val="0"/>
              <w:marRight w:val="0"/>
              <w:marTop w:val="0"/>
              <w:marBottom w:val="0"/>
              <w:divBdr>
                <w:top w:val="none" w:sz="0" w:space="0" w:color="auto"/>
                <w:left w:val="none" w:sz="0" w:space="0" w:color="auto"/>
                <w:bottom w:val="none" w:sz="0" w:space="0" w:color="auto"/>
                <w:right w:val="none" w:sz="0" w:space="0" w:color="auto"/>
              </w:divBdr>
              <w:divsChild>
                <w:div w:id="1124696041">
                  <w:marLeft w:val="0"/>
                  <w:marRight w:val="0"/>
                  <w:marTop w:val="0"/>
                  <w:marBottom w:val="0"/>
                  <w:divBdr>
                    <w:top w:val="none" w:sz="0" w:space="0" w:color="auto"/>
                    <w:left w:val="none" w:sz="0" w:space="0" w:color="auto"/>
                    <w:bottom w:val="none" w:sz="0" w:space="0" w:color="auto"/>
                    <w:right w:val="none" w:sz="0" w:space="0" w:color="auto"/>
                  </w:divBdr>
                </w:div>
                <w:div w:id="919175050">
                  <w:marLeft w:val="0"/>
                  <w:marRight w:val="0"/>
                  <w:marTop w:val="0"/>
                  <w:marBottom w:val="0"/>
                  <w:divBdr>
                    <w:top w:val="none" w:sz="0" w:space="0" w:color="auto"/>
                    <w:left w:val="none" w:sz="0" w:space="0" w:color="auto"/>
                    <w:bottom w:val="none" w:sz="0" w:space="0" w:color="auto"/>
                    <w:right w:val="none" w:sz="0" w:space="0" w:color="auto"/>
                  </w:divBdr>
                </w:div>
              </w:divsChild>
            </w:div>
            <w:div w:id="786892098">
              <w:marLeft w:val="0"/>
              <w:marRight w:val="0"/>
              <w:marTop w:val="0"/>
              <w:marBottom w:val="0"/>
              <w:divBdr>
                <w:top w:val="none" w:sz="0" w:space="0" w:color="auto"/>
                <w:left w:val="none" w:sz="0" w:space="0" w:color="auto"/>
                <w:bottom w:val="none" w:sz="0" w:space="0" w:color="auto"/>
                <w:right w:val="none" w:sz="0" w:space="0" w:color="auto"/>
              </w:divBdr>
              <w:divsChild>
                <w:div w:id="1807775747">
                  <w:marLeft w:val="0"/>
                  <w:marRight w:val="0"/>
                  <w:marTop w:val="0"/>
                  <w:marBottom w:val="0"/>
                  <w:divBdr>
                    <w:top w:val="none" w:sz="0" w:space="0" w:color="auto"/>
                    <w:left w:val="none" w:sz="0" w:space="0" w:color="auto"/>
                    <w:bottom w:val="none" w:sz="0" w:space="0" w:color="auto"/>
                    <w:right w:val="none" w:sz="0" w:space="0" w:color="auto"/>
                  </w:divBdr>
                </w:div>
                <w:div w:id="10510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827">
      <w:bodyDiv w:val="1"/>
      <w:marLeft w:val="0"/>
      <w:marRight w:val="0"/>
      <w:marTop w:val="0"/>
      <w:marBottom w:val="0"/>
      <w:divBdr>
        <w:top w:val="none" w:sz="0" w:space="0" w:color="auto"/>
        <w:left w:val="none" w:sz="0" w:space="0" w:color="auto"/>
        <w:bottom w:val="none" w:sz="0" w:space="0" w:color="auto"/>
        <w:right w:val="none" w:sz="0" w:space="0" w:color="auto"/>
      </w:divBdr>
    </w:div>
    <w:div w:id="288977405">
      <w:bodyDiv w:val="1"/>
      <w:marLeft w:val="0"/>
      <w:marRight w:val="0"/>
      <w:marTop w:val="0"/>
      <w:marBottom w:val="0"/>
      <w:divBdr>
        <w:top w:val="none" w:sz="0" w:space="0" w:color="auto"/>
        <w:left w:val="none" w:sz="0" w:space="0" w:color="auto"/>
        <w:bottom w:val="none" w:sz="0" w:space="0" w:color="auto"/>
        <w:right w:val="none" w:sz="0" w:space="0" w:color="auto"/>
      </w:divBdr>
    </w:div>
    <w:div w:id="293800052">
      <w:bodyDiv w:val="1"/>
      <w:marLeft w:val="0"/>
      <w:marRight w:val="0"/>
      <w:marTop w:val="0"/>
      <w:marBottom w:val="0"/>
      <w:divBdr>
        <w:top w:val="none" w:sz="0" w:space="0" w:color="auto"/>
        <w:left w:val="none" w:sz="0" w:space="0" w:color="auto"/>
        <w:bottom w:val="none" w:sz="0" w:space="0" w:color="auto"/>
        <w:right w:val="none" w:sz="0" w:space="0" w:color="auto"/>
      </w:divBdr>
    </w:div>
    <w:div w:id="305937630">
      <w:bodyDiv w:val="1"/>
      <w:marLeft w:val="0"/>
      <w:marRight w:val="0"/>
      <w:marTop w:val="0"/>
      <w:marBottom w:val="0"/>
      <w:divBdr>
        <w:top w:val="none" w:sz="0" w:space="0" w:color="auto"/>
        <w:left w:val="none" w:sz="0" w:space="0" w:color="auto"/>
        <w:bottom w:val="none" w:sz="0" w:space="0" w:color="auto"/>
        <w:right w:val="none" w:sz="0" w:space="0" w:color="auto"/>
      </w:divBdr>
    </w:div>
    <w:div w:id="323166105">
      <w:bodyDiv w:val="1"/>
      <w:marLeft w:val="0"/>
      <w:marRight w:val="0"/>
      <w:marTop w:val="0"/>
      <w:marBottom w:val="0"/>
      <w:divBdr>
        <w:top w:val="none" w:sz="0" w:space="0" w:color="auto"/>
        <w:left w:val="none" w:sz="0" w:space="0" w:color="auto"/>
        <w:bottom w:val="none" w:sz="0" w:space="0" w:color="auto"/>
        <w:right w:val="none" w:sz="0" w:space="0" w:color="auto"/>
      </w:divBdr>
    </w:div>
    <w:div w:id="340933634">
      <w:bodyDiv w:val="1"/>
      <w:marLeft w:val="0"/>
      <w:marRight w:val="0"/>
      <w:marTop w:val="0"/>
      <w:marBottom w:val="0"/>
      <w:divBdr>
        <w:top w:val="none" w:sz="0" w:space="0" w:color="auto"/>
        <w:left w:val="none" w:sz="0" w:space="0" w:color="auto"/>
        <w:bottom w:val="none" w:sz="0" w:space="0" w:color="auto"/>
        <w:right w:val="none" w:sz="0" w:space="0" w:color="auto"/>
      </w:divBdr>
      <w:divsChild>
        <w:div w:id="1316954391">
          <w:marLeft w:val="0"/>
          <w:marRight w:val="0"/>
          <w:marTop w:val="0"/>
          <w:marBottom w:val="0"/>
          <w:divBdr>
            <w:top w:val="none" w:sz="0" w:space="0" w:color="auto"/>
            <w:left w:val="none" w:sz="0" w:space="0" w:color="auto"/>
            <w:bottom w:val="none" w:sz="0" w:space="0" w:color="auto"/>
            <w:right w:val="none" w:sz="0" w:space="0" w:color="auto"/>
          </w:divBdr>
          <w:divsChild>
            <w:div w:id="497769440">
              <w:marLeft w:val="0"/>
              <w:marRight w:val="0"/>
              <w:marTop w:val="0"/>
              <w:marBottom w:val="0"/>
              <w:divBdr>
                <w:top w:val="none" w:sz="0" w:space="0" w:color="auto"/>
                <w:left w:val="none" w:sz="0" w:space="0" w:color="auto"/>
                <w:bottom w:val="none" w:sz="0" w:space="0" w:color="auto"/>
                <w:right w:val="none" w:sz="0" w:space="0" w:color="auto"/>
              </w:divBdr>
              <w:divsChild>
                <w:div w:id="20368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976">
      <w:bodyDiv w:val="1"/>
      <w:marLeft w:val="0"/>
      <w:marRight w:val="0"/>
      <w:marTop w:val="0"/>
      <w:marBottom w:val="0"/>
      <w:divBdr>
        <w:top w:val="none" w:sz="0" w:space="0" w:color="auto"/>
        <w:left w:val="none" w:sz="0" w:space="0" w:color="auto"/>
        <w:bottom w:val="none" w:sz="0" w:space="0" w:color="auto"/>
        <w:right w:val="none" w:sz="0" w:space="0" w:color="auto"/>
      </w:divBdr>
    </w:div>
    <w:div w:id="410271427">
      <w:bodyDiv w:val="1"/>
      <w:marLeft w:val="0"/>
      <w:marRight w:val="0"/>
      <w:marTop w:val="0"/>
      <w:marBottom w:val="0"/>
      <w:divBdr>
        <w:top w:val="none" w:sz="0" w:space="0" w:color="auto"/>
        <w:left w:val="none" w:sz="0" w:space="0" w:color="auto"/>
        <w:bottom w:val="none" w:sz="0" w:space="0" w:color="auto"/>
        <w:right w:val="none" w:sz="0" w:space="0" w:color="auto"/>
      </w:divBdr>
    </w:div>
    <w:div w:id="502744178">
      <w:bodyDiv w:val="1"/>
      <w:marLeft w:val="0"/>
      <w:marRight w:val="0"/>
      <w:marTop w:val="0"/>
      <w:marBottom w:val="0"/>
      <w:divBdr>
        <w:top w:val="none" w:sz="0" w:space="0" w:color="auto"/>
        <w:left w:val="none" w:sz="0" w:space="0" w:color="auto"/>
        <w:bottom w:val="none" w:sz="0" w:space="0" w:color="auto"/>
        <w:right w:val="none" w:sz="0" w:space="0" w:color="auto"/>
      </w:divBdr>
    </w:div>
    <w:div w:id="502864278">
      <w:bodyDiv w:val="1"/>
      <w:marLeft w:val="0"/>
      <w:marRight w:val="0"/>
      <w:marTop w:val="0"/>
      <w:marBottom w:val="0"/>
      <w:divBdr>
        <w:top w:val="none" w:sz="0" w:space="0" w:color="auto"/>
        <w:left w:val="none" w:sz="0" w:space="0" w:color="auto"/>
        <w:bottom w:val="none" w:sz="0" w:space="0" w:color="auto"/>
        <w:right w:val="none" w:sz="0" w:space="0" w:color="auto"/>
      </w:divBdr>
    </w:div>
    <w:div w:id="516232263">
      <w:bodyDiv w:val="1"/>
      <w:marLeft w:val="0"/>
      <w:marRight w:val="0"/>
      <w:marTop w:val="0"/>
      <w:marBottom w:val="0"/>
      <w:divBdr>
        <w:top w:val="none" w:sz="0" w:space="0" w:color="auto"/>
        <w:left w:val="none" w:sz="0" w:space="0" w:color="auto"/>
        <w:bottom w:val="none" w:sz="0" w:space="0" w:color="auto"/>
        <w:right w:val="none" w:sz="0" w:space="0" w:color="auto"/>
      </w:divBdr>
    </w:div>
    <w:div w:id="539174067">
      <w:bodyDiv w:val="1"/>
      <w:marLeft w:val="0"/>
      <w:marRight w:val="0"/>
      <w:marTop w:val="0"/>
      <w:marBottom w:val="0"/>
      <w:divBdr>
        <w:top w:val="none" w:sz="0" w:space="0" w:color="auto"/>
        <w:left w:val="none" w:sz="0" w:space="0" w:color="auto"/>
        <w:bottom w:val="none" w:sz="0" w:space="0" w:color="auto"/>
        <w:right w:val="none" w:sz="0" w:space="0" w:color="auto"/>
      </w:divBdr>
    </w:div>
    <w:div w:id="587078035">
      <w:bodyDiv w:val="1"/>
      <w:marLeft w:val="0"/>
      <w:marRight w:val="0"/>
      <w:marTop w:val="0"/>
      <w:marBottom w:val="0"/>
      <w:divBdr>
        <w:top w:val="none" w:sz="0" w:space="0" w:color="auto"/>
        <w:left w:val="none" w:sz="0" w:space="0" w:color="auto"/>
        <w:bottom w:val="none" w:sz="0" w:space="0" w:color="auto"/>
        <w:right w:val="none" w:sz="0" w:space="0" w:color="auto"/>
      </w:divBdr>
      <w:divsChild>
        <w:div w:id="90822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0347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1037290">
      <w:bodyDiv w:val="1"/>
      <w:marLeft w:val="0"/>
      <w:marRight w:val="0"/>
      <w:marTop w:val="0"/>
      <w:marBottom w:val="0"/>
      <w:divBdr>
        <w:top w:val="none" w:sz="0" w:space="0" w:color="auto"/>
        <w:left w:val="none" w:sz="0" w:space="0" w:color="auto"/>
        <w:bottom w:val="none" w:sz="0" w:space="0" w:color="auto"/>
        <w:right w:val="none" w:sz="0" w:space="0" w:color="auto"/>
      </w:divBdr>
    </w:div>
    <w:div w:id="657002074">
      <w:bodyDiv w:val="1"/>
      <w:marLeft w:val="0"/>
      <w:marRight w:val="0"/>
      <w:marTop w:val="0"/>
      <w:marBottom w:val="0"/>
      <w:divBdr>
        <w:top w:val="none" w:sz="0" w:space="0" w:color="auto"/>
        <w:left w:val="none" w:sz="0" w:space="0" w:color="auto"/>
        <w:bottom w:val="none" w:sz="0" w:space="0" w:color="auto"/>
        <w:right w:val="none" w:sz="0" w:space="0" w:color="auto"/>
      </w:divBdr>
    </w:div>
    <w:div w:id="717511030">
      <w:bodyDiv w:val="1"/>
      <w:marLeft w:val="0"/>
      <w:marRight w:val="0"/>
      <w:marTop w:val="0"/>
      <w:marBottom w:val="0"/>
      <w:divBdr>
        <w:top w:val="none" w:sz="0" w:space="0" w:color="auto"/>
        <w:left w:val="none" w:sz="0" w:space="0" w:color="auto"/>
        <w:bottom w:val="none" w:sz="0" w:space="0" w:color="auto"/>
        <w:right w:val="none" w:sz="0" w:space="0" w:color="auto"/>
      </w:divBdr>
    </w:div>
    <w:div w:id="795417086">
      <w:bodyDiv w:val="1"/>
      <w:marLeft w:val="0"/>
      <w:marRight w:val="0"/>
      <w:marTop w:val="0"/>
      <w:marBottom w:val="0"/>
      <w:divBdr>
        <w:top w:val="none" w:sz="0" w:space="0" w:color="auto"/>
        <w:left w:val="none" w:sz="0" w:space="0" w:color="auto"/>
        <w:bottom w:val="none" w:sz="0" w:space="0" w:color="auto"/>
        <w:right w:val="none" w:sz="0" w:space="0" w:color="auto"/>
      </w:divBdr>
    </w:div>
    <w:div w:id="809135761">
      <w:bodyDiv w:val="1"/>
      <w:marLeft w:val="0"/>
      <w:marRight w:val="0"/>
      <w:marTop w:val="0"/>
      <w:marBottom w:val="0"/>
      <w:divBdr>
        <w:top w:val="none" w:sz="0" w:space="0" w:color="auto"/>
        <w:left w:val="none" w:sz="0" w:space="0" w:color="auto"/>
        <w:bottom w:val="none" w:sz="0" w:space="0" w:color="auto"/>
        <w:right w:val="none" w:sz="0" w:space="0" w:color="auto"/>
      </w:divBdr>
      <w:divsChild>
        <w:div w:id="1662583486">
          <w:marLeft w:val="0"/>
          <w:marRight w:val="0"/>
          <w:marTop w:val="0"/>
          <w:marBottom w:val="0"/>
          <w:divBdr>
            <w:top w:val="none" w:sz="0" w:space="0" w:color="auto"/>
            <w:left w:val="none" w:sz="0" w:space="0" w:color="auto"/>
            <w:bottom w:val="none" w:sz="0" w:space="0" w:color="auto"/>
            <w:right w:val="none" w:sz="0" w:space="0" w:color="auto"/>
          </w:divBdr>
          <w:divsChild>
            <w:div w:id="999967288">
              <w:marLeft w:val="0"/>
              <w:marRight w:val="0"/>
              <w:marTop w:val="0"/>
              <w:marBottom w:val="0"/>
              <w:divBdr>
                <w:top w:val="none" w:sz="0" w:space="0" w:color="auto"/>
                <w:left w:val="none" w:sz="0" w:space="0" w:color="auto"/>
                <w:bottom w:val="none" w:sz="0" w:space="0" w:color="auto"/>
                <w:right w:val="none" w:sz="0" w:space="0" w:color="auto"/>
              </w:divBdr>
              <w:divsChild>
                <w:div w:id="1360548107">
                  <w:marLeft w:val="0"/>
                  <w:marRight w:val="0"/>
                  <w:marTop w:val="0"/>
                  <w:marBottom w:val="0"/>
                  <w:divBdr>
                    <w:top w:val="none" w:sz="0" w:space="0" w:color="auto"/>
                    <w:left w:val="none" w:sz="0" w:space="0" w:color="auto"/>
                    <w:bottom w:val="none" w:sz="0" w:space="0" w:color="auto"/>
                    <w:right w:val="none" w:sz="0" w:space="0" w:color="auto"/>
                  </w:divBdr>
                  <w:divsChild>
                    <w:div w:id="13752782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3903">
      <w:bodyDiv w:val="1"/>
      <w:marLeft w:val="0"/>
      <w:marRight w:val="0"/>
      <w:marTop w:val="0"/>
      <w:marBottom w:val="0"/>
      <w:divBdr>
        <w:top w:val="none" w:sz="0" w:space="0" w:color="auto"/>
        <w:left w:val="none" w:sz="0" w:space="0" w:color="auto"/>
        <w:bottom w:val="none" w:sz="0" w:space="0" w:color="auto"/>
        <w:right w:val="none" w:sz="0" w:space="0" w:color="auto"/>
      </w:divBdr>
    </w:div>
    <w:div w:id="903292796">
      <w:bodyDiv w:val="1"/>
      <w:marLeft w:val="0"/>
      <w:marRight w:val="0"/>
      <w:marTop w:val="0"/>
      <w:marBottom w:val="0"/>
      <w:divBdr>
        <w:top w:val="none" w:sz="0" w:space="0" w:color="auto"/>
        <w:left w:val="none" w:sz="0" w:space="0" w:color="auto"/>
        <w:bottom w:val="none" w:sz="0" w:space="0" w:color="auto"/>
        <w:right w:val="none" w:sz="0" w:space="0" w:color="auto"/>
      </w:divBdr>
    </w:div>
    <w:div w:id="941570924">
      <w:bodyDiv w:val="1"/>
      <w:marLeft w:val="0"/>
      <w:marRight w:val="0"/>
      <w:marTop w:val="0"/>
      <w:marBottom w:val="0"/>
      <w:divBdr>
        <w:top w:val="none" w:sz="0" w:space="0" w:color="auto"/>
        <w:left w:val="none" w:sz="0" w:space="0" w:color="auto"/>
        <w:bottom w:val="none" w:sz="0" w:space="0" w:color="auto"/>
        <w:right w:val="none" w:sz="0" w:space="0" w:color="auto"/>
      </w:divBdr>
    </w:div>
    <w:div w:id="1153565713">
      <w:bodyDiv w:val="1"/>
      <w:marLeft w:val="0"/>
      <w:marRight w:val="0"/>
      <w:marTop w:val="0"/>
      <w:marBottom w:val="0"/>
      <w:divBdr>
        <w:top w:val="none" w:sz="0" w:space="0" w:color="auto"/>
        <w:left w:val="none" w:sz="0" w:space="0" w:color="auto"/>
        <w:bottom w:val="none" w:sz="0" w:space="0" w:color="auto"/>
        <w:right w:val="none" w:sz="0" w:space="0" w:color="auto"/>
      </w:divBdr>
    </w:div>
    <w:div w:id="1199900646">
      <w:bodyDiv w:val="1"/>
      <w:marLeft w:val="0"/>
      <w:marRight w:val="0"/>
      <w:marTop w:val="0"/>
      <w:marBottom w:val="0"/>
      <w:divBdr>
        <w:top w:val="none" w:sz="0" w:space="0" w:color="auto"/>
        <w:left w:val="none" w:sz="0" w:space="0" w:color="auto"/>
        <w:bottom w:val="none" w:sz="0" w:space="0" w:color="auto"/>
        <w:right w:val="none" w:sz="0" w:space="0" w:color="auto"/>
      </w:divBdr>
    </w:div>
    <w:div w:id="1214928851">
      <w:bodyDiv w:val="1"/>
      <w:marLeft w:val="0"/>
      <w:marRight w:val="0"/>
      <w:marTop w:val="0"/>
      <w:marBottom w:val="0"/>
      <w:divBdr>
        <w:top w:val="none" w:sz="0" w:space="0" w:color="auto"/>
        <w:left w:val="none" w:sz="0" w:space="0" w:color="auto"/>
        <w:bottom w:val="none" w:sz="0" w:space="0" w:color="auto"/>
        <w:right w:val="none" w:sz="0" w:space="0" w:color="auto"/>
      </w:divBdr>
      <w:divsChild>
        <w:div w:id="535387655">
          <w:marLeft w:val="0"/>
          <w:marRight w:val="0"/>
          <w:marTop w:val="0"/>
          <w:marBottom w:val="0"/>
          <w:divBdr>
            <w:top w:val="none" w:sz="0" w:space="0" w:color="auto"/>
            <w:left w:val="none" w:sz="0" w:space="0" w:color="auto"/>
            <w:bottom w:val="none" w:sz="0" w:space="0" w:color="auto"/>
            <w:right w:val="none" w:sz="0" w:space="0" w:color="auto"/>
          </w:divBdr>
          <w:divsChild>
            <w:div w:id="2076781598">
              <w:marLeft w:val="0"/>
              <w:marRight w:val="0"/>
              <w:marTop w:val="0"/>
              <w:marBottom w:val="0"/>
              <w:divBdr>
                <w:top w:val="none" w:sz="0" w:space="0" w:color="auto"/>
                <w:left w:val="none" w:sz="0" w:space="0" w:color="auto"/>
                <w:bottom w:val="none" w:sz="0" w:space="0" w:color="auto"/>
                <w:right w:val="none" w:sz="0" w:space="0" w:color="auto"/>
              </w:divBdr>
              <w:divsChild>
                <w:div w:id="358555384">
                  <w:marLeft w:val="0"/>
                  <w:marRight w:val="0"/>
                  <w:marTop w:val="0"/>
                  <w:marBottom w:val="0"/>
                  <w:divBdr>
                    <w:top w:val="none" w:sz="0" w:space="0" w:color="auto"/>
                    <w:left w:val="none" w:sz="0" w:space="0" w:color="auto"/>
                    <w:bottom w:val="none" w:sz="0" w:space="0" w:color="auto"/>
                    <w:right w:val="none" w:sz="0" w:space="0" w:color="auto"/>
                  </w:divBdr>
                </w:div>
                <w:div w:id="2487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87008">
      <w:bodyDiv w:val="1"/>
      <w:marLeft w:val="0"/>
      <w:marRight w:val="0"/>
      <w:marTop w:val="0"/>
      <w:marBottom w:val="0"/>
      <w:divBdr>
        <w:top w:val="none" w:sz="0" w:space="0" w:color="auto"/>
        <w:left w:val="none" w:sz="0" w:space="0" w:color="auto"/>
        <w:bottom w:val="none" w:sz="0" w:space="0" w:color="auto"/>
        <w:right w:val="none" w:sz="0" w:space="0" w:color="auto"/>
      </w:divBdr>
    </w:div>
    <w:div w:id="1356732142">
      <w:bodyDiv w:val="1"/>
      <w:marLeft w:val="0"/>
      <w:marRight w:val="0"/>
      <w:marTop w:val="0"/>
      <w:marBottom w:val="0"/>
      <w:divBdr>
        <w:top w:val="none" w:sz="0" w:space="0" w:color="auto"/>
        <w:left w:val="none" w:sz="0" w:space="0" w:color="auto"/>
        <w:bottom w:val="none" w:sz="0" w:space="0" w:color="auto"/>
        <w:right w:val="none" w:sz="0" w:space="0" w:color="auto"/>
      </w:divBdr>
    </w:div>
    <w:div w:id="1441686760">
      <w:bodyDiv w:val="1"/>
      <w:marLeft w:val="0"/>
      <w:marRight w:val="0"/>
      <w:marTop w:val="0"/>
      <w:marBottom w:val="0"/>
      <w:divBdr>
        <w:top w:val="none" w:sz="0" w:space="0" w:color="auto"/>
        <w:left w:val="none" w:sz="0" w:space="0" w:color="auto"/>
        <w:bottom w:val="none" w:sz="0" w:space="0" w:color="auto"/>
        <w:right w:val="none" w:sz="0" w:space="0" w:color="auto"/>
      </w:divBdr>
    </w:div>
    <w:div w:id="1474443897">
      <w:bodyDiv w:val="1"/>
      <w:marLeft w:val="0"/>
      <w:marRight w:val="0"/>
      <w:marTop w:val="0"/>
      <w:marBottom w:val="0"/>
      <w:divBdr>
        <w:top w:val="none" w:sz="0" w:space="0" w:color="auto"/>
        <w:left w:val="none" w:sz="0" w:space="0" w:color="auto"/>
        <w:bottom w:val="none" w:sz="0" w:space="0" w:color="auto"/>
        <w:right w:val="none" w:sz="0" w:space="0" w:color="auto"/>
      </w:divBdr>
    </w:div>
    <w:div w:id="1494443186">
      <w:bodyDiv w:val="1"/>
      <w:marLeft w:val="0"/>
      <w:marRight w:val="0"/>
      <w:marTop w:val="0"/>
      <w:marBottom w:val="0"/>
      <w:divBdr>
        <w:top w:val="none" w:sz="0" w:space="0" w:color="auto"/>
        <w:left w:val="none" w:sz="0" w:space="0" w:color="auto"/>
        <w:bottom w:val="none" w:sz="0" w:space="0" w:color="auto"/>
        <w:right w:val="none" w:sz="0" w:space="0" w:color="auto"/>
      </w:divBdr>
    </w:div>
    <w:div w:id="1556313968">
      <w:bodyDiv w:val="1"/>
      <w:marLeft w:val="0"/>
      <w:marRight w:val="0"/>
      <w:marTop w:val="0"/>
      <w:marBottom w:val="0"/>
      <w:divBdr>
        <w:top w:val="none" w:sz="0" w:space="0" w:color="auto"/>
        <w:left w:val="none" w:sz="0" w:space="0" w:color="auto"/>
        <w:bottom w:val="none" w:sz="0" w:space="0" w:color="auto"/>
        <w:right w:val="none" w:sz="0" w:space="0" w:color="auto"/>
      </w:divBdr>
    </w:div>
    <w:div w:id="1691368328">
      <w:bodyDiv w:val="1"/>
      <w:marLeft w:val="0"/>
      <w:marRight w:val="0"/>
      <w:marTop w:val="0"/>
      <w:marBottom w:val="0"/>
      <w:divBdr>
        <w:top w:val="none" w:sz="0" w:space="0" w:color="auto"/>
        <w:left w:val="none" w:sz="0" w:space="0" w:color="auto"/>
        <w:bottom w:val="none" w:sz="0" w:space="0" w:color="auto"/>
        <w:right w:val="none" w:sz="0" w:space="0" w:color="auto"/>
      </w:divBdr>
    </w:div>
    <w:div w:id="1775900747">
      <w:bodyDiv w:val="1"/>
      <w:marLeft w:val="0"/>
      <w:marRight w:val="0"/>
      <w:marTop w:val="0"/>
      <w:marBottom w:val="0"/>
      <w:divBdr>
        <w:top w:val="none" w:sz="0" w:space="0" w:color="auto"/>
        <w:left w:val="none" w:sz="0" w:space="0" w:color="auto"/>
        <w:bottom w:val="none" w:sz="0" w:space="0" w:color="auto"/>
        <w:right w:val="none" w:sz="0" w:space="0" w:color="auto"/>
      </w:divBdr>
    </w:div>
    <w:div w:id="1807622482">
      <w:bodyDiv w:val="1"/>
      <w:marLeft w:val="0"/>
      <w:marRight w:val="0"/>
      <w:marTop w:val="0"/>
      <w:marBottom w:val="0"/>
      <w:divBdr>
        <w:top w:val="none" w:sz="0" w:space="0" w:color="auto"/>
        <w:left w:val="none" w:sz="0" w:space="0" w:color="auto"/>
        <w:bottom w:val="none" w:sz="0" w:space="0" w:color="auto"/>
        <w:right w:val="none" w:sz="0" w:space="0" w:color="auto"/>
      </w:divBdr>
    </w:div>
    <w:div w:id="1827161943">
      <w:bodyDiv w:val="1"/>
      <w:marLeft w:val="0"/>
      <w:marRight w:val="0"/>
      <w:marTop w:val="0"/>
      <w:marBottom w:val="0"/>
      <w:divBdr>
        <w:top w:val="none" w:sz="0" w:space="0" w:color="auto"/>
        <w:left w:val="none" w:sz="0" w:space="0" w:color="auto"/>
        <w:bottom w:val="none" w:sz="0" w:space="0" w:color="auto"/>
        <w:right w:val="none" w:sz="0" w:space="0" w:color="auto"/>
      </w:divBdr>
      <w:divsChild>
        <w:div w:id="653871489">
          <w:marLeft w:val="0"/>
          <w:marRight w:val="0"/>
          <w:marTop w:val="0"/>
          <w:marBottom w:val="0"/>
          <w:divBdr>
            <w:top w:val="none" w:sz="0" w:space="0" w:color="auto"/>
            <w:left w:val="none" w:sz="0" w:space="0" w:color="auto"/>
            <w:bottom w:val="none" w:sz="0" w:space="0" w:color="auto"/>
            <w:right w:val="none" w:sz="0" w:space="0" w:color="auto"/>
          </w:divBdr>
          <w:divsChild>
            <w:div w:id="679545327">
              <w:marLeft w:val="0"/>
              <w:marRight w:val="0"/>
              <w:marTop w:val="0"/>
              <w:marBottom w:val="0"/>
              <w:divBdr>
                <w:top w:val="none" w:sz="0" w:space="0" w:color="auto"/>
                <w:left w:val="none" w:sz="0" w:space="0" w:color="auto"/>
                <w:bottom w:val="none" w:sz="0" w:space="0" w:color="auto"/>
                <w:right w:val="none" w:sz="0" w:space="0" w:color="auto"/>
              </w:divBdr>
              <w:divsChild>
                <w:div w:id="9847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2044">
      <w:bodyDiv w:val="1"/>
      <w:marLeft w:val="0"/>
      <w:marRight w:val="0"/>
      <w:marTop w:val="0"/>
      <w:marBottom w:val="0"/>
      <w:divBdr>
        <w:top w:val="none" w:sz="0" w:space="0" w:color="auto"/>
        <w:left w:val="none" w:sz="0" w:space="0" w:color="auto"/>
        <w:bottom w:val="none" w:sz="0" w:space="0" w:color="auto"/>
        <w:right w:val="none" w:sz="0" w:space="0" w:color="auto"/>
      </w:divBdr>
    </w:div>
    <w:div w:id="1933664544">
      <w:bodyDiv w:val="1"/>
      <w:marLeft w:val="0"/>
      <w:marRight w:val="0"/>
      <w:marTop w:val="0"/>
      <w:marBottom w:val="0"/>
      <w:divBdr>
        <w:top w:val="none" w:sz="0" w:space="0" w:color="auto"/>
        <w:left w:val="none" w:sz="0" w:space="0" w:color="auto"/>
        <w:bottom w:val="none" w:sz="0" w:space="0" w:color="auto"/>
        <w:right w:val="none" w:sz="0" w:space="0" w:color="auto"/>
      </w:divBdr>
      <w:divsChild>
        <w:div w:id="1020471699">
          <w:marLeft w:val="0"/>
          <w:marRight w:val="0"/>
          <w:marTop w:val="0"/>
          <w:marBottom w:val="0"/>
          <w:divBdr>
            <w:top w:val="none" w:sz="0" w:space="0" w:color="auto"/>
            <w:left w:val="none" w:sz="0" w:space="0" w:color="auto"/>
            <w:bottom w:val="none" w:sz="0" w:space="0" w:color="auto"/>
            <w:right w:val="none" w:sz="0" w:space="0" w:color="auto"/>
          </w:divBdr>
          <w:divsChild>
            <w:div w:id="367800682">
              <w:marLeft w:val="0"/>
              <w:marRight w:val="0"/>
              <w:marTop w:val="0"/>
              <w:marBottom w:val="0"/>
              <w:divBdr>
                <w:top w:val="none" w:sz="0" w:space="0" w:color="auto"/>
                <w:left w:val="none" w:sz="0" w:space="0" w:color="auto"/>
                <w:bottom w:val="none" w:sz="0" w:space="0" w:color="auto"/>
                <w:right w:val="none" w:sz="0" w:space="0" w:color="auto"/>
              </w:divBdr>
              <w:divsChild>
                <w:div w:id="10432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7526">
      <w:bodyDiv w:val="1"/>
      <w:marLeft w:val="0"/>
      <w:marRight w:val="0"/>
      <w:marTop w:val="0"/>
      <w:marBottom w:val="0"/>
      <w:divBdr>
        <w:top w:val="none" w:sz="0" w:space="0" w:color="auto"/>
        <w:left w:val="none" w:sz="0" w:space="0" w:color="auto"/>
        <w:bottom w:val="none" w:sz="0" w:space="0" w:color="auto"/>
        <w:right w:val="none" w:sz="0" w:space="0" w:color="auto"/>
      </w:divBdr>
    </w:div>
    <w:div w:id="1986083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tecc.com.au/recourse-to-securities-reputational-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15</Pages>
  <Words>4585</Words>
  <Characters>23572</Characters>
  <Application>Microsoft Office Word</Application>
  <DocSecurity>0</DocSecurity>
  <Lines>637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Jennika  Anthony-Shaw</dc:creator>
  <cp:keywords/>
  <dc:description/>
  <cp:lastModifiedBy>Michael Whitten</cp:lastModifiedBy>
  <cp:revision>22</cp:revision>
  <cp:lastPrinted>2018-03-25T22:54:00Z</cp:lastPrinted>
  <dcterms:created xsi:type="dcterms:W3CDTF">2018-03-25T23:04:00Z</dcterms:created>
  <dcterms:modified xsi:type="dcterms:W3CDTF">2018-03-28T04:43:00Z</dcterms:modified>
</cp:coreProperties>
</file>